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11F966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启东市城市水处理有限公司三期风机采购安装项目</w:t>
      </w:r>
      <w:r>
        <w:rPr>
          <w:rFonts w:hint="eastAsia" w:ascii="宋体" w:hAnsi="宋体" w:eastAsia="宋体" w:cs="宋体"/>
          <w:color w:val="auto"/>
          <w:sz w:val="44"/>
          <w:szCs w:val="44"/>
          <w:highlight w:val="none"/>
          <w:lang w:val="en-US" w:eastAsia="zh-CN"/>
        </w:rPr>
        <w:t xml:space="preserve"> </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57275442"/>
      <w:bookmarkStart w:id="1" w:name="_Toc312608845"/>
      <w:bookmarkStart w:id="2" w:name="_Toc241913651"/>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bookmarkEnd w:id="0"/>
      <w:bookmarkEnd w:id="1"/>
      <w:bookmarkEnd w:id="2"/>
      <w:r>
        <w:rPr>
          <w:rFonts w:hint="eastAsia" w:ascii="宋体" w:hAnsi="宋体" w:cs="宋体"/>
          <w:color w:val="auto"/>
          <w:sz w:val="32"/>
          <w:szCs w:val="32"/>
          <w:highlight w:val="none"/>
          <w:lang w:eastAsia="zh-CN"/>
        </w:rPr>
        <w:t>江苏益诚建设工程咨询有限公司</w:t>
      </w:r>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7</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758" w:bottom="1440" w:left="1758"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3520"/>
      <w:bookmarkStart w:id="4" w:name="_Toc82505651"/>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2"/>
      <w:bookmarkStart w:id="8" w:name="OLE_LINK5"/>
      <w:bookmarkStart w:id="9" w:name="OLE_LINK6"/>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w:t>
      </w:r>
      <w:r>
        <w:rPr>
          <w:rFonts w:hint="eastAsia" w:ascii="宋体" w:hAnsi="宋体" w:cs="宋体"/>
          <w:color w:val="auto"/>
          <w:sz w:val="28"/>
          <w:szCs w:val="28"/>
          <w:highlight w:val="none"/>
          <w:lang w:eastAsia="zh-CN"/>
        </w:rPr>
        <w:t>江苏益诚建设工程咨询有限公司</w:t>
      </w:r>
      <w:r>
        <w:rPr>
          <w:rFonts w:hint="eastAsia" w:ascii="宋体" w:hAnsi="宋体" w:eastAsia="宋体" w:cs="宋体"/>
          <w:color w:val="auto"/>
          <w:sz w:val="28"/>
          <w:szCs w:val="28"/>
          <w:highlight w:val="none"/>
        </w:rPr>
        <w:t>就[</w:t>
      </w:r>
      <w:r>
        <w:rPr>
          <w:rFonts w:hint="eastAsia" w:ascii="宋体" w:hAnsi="宋体" w:cs="宋体"/>
          <w:color w:val="auto"/>
          <w:sz w:val="28"/>
          <w:szCs w:val="28"/>
          <w:highlight w:val="none"/>
          <w:lang w:eastAsia="zh-CN"/>
        </w:rPr>
        <w:t>启东市城市水处理有限公司三期风机采购安装项目</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启东市城市水处理有限公司三期风机采购安装项目</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 xml:space="preserve"> 30 </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启东市城市水处理有限公司三期风机采购安装项目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default" w:ascii="宋体" w:hAnsi="宋体" w:cs="宋体"/>
          <w:color w:val="auto"/>
          <w:sz w:val="28"/>
          <w:szCs w:val="28"/>
          <w:highlight w:val="none"/>
          <w:lang w:val="en-US" w:eastAsia="zh-CN"/>
        </w:rPr>
        <w:t>（含税）：169900元</w:t>
      </w:r>
    </w:p>
    <w:p w14:paraId="55482AE3">
      <w:pPr>
        <w:adjustRightInd w:val="0"/>
        <w:snapToGrid w:val="0"/>
        <w:spacing w:line="500" w:lineRule="exact"/>
        <w:ind w:firstLine="560" w:firstLineChars="200"/>
        <w:rPr>
          <w:rFonts w:hint="default" w:ascii="宋体" w:hAnsi="宋体" w:cs="宋体"/>
          <w:color w:val="auto"/>
          <w:sz w:val="28"/>
          <w:szCs w:val="28"/>
          <w:highlight w:val="none"/>
          <w:lang w:val="en-US" w:eastAsia="zh-CN"/>
        </w:rPr>
      </w:pPr>
      <w:r>
        <w:rPr>
          <w:rFonts w:hint="default" w:ascii="宋体" w:hAnsi="宋体" w:cs="宋体"/>
          <w:color w:val="auto"/>
          <w:sz w:val="28"/>
          <w:szCs w:val="28"/>
          <w:highlight w:val="none"/>
          <w:lang w:val="en-US" w:eastAsia="zh-CN"/>
        </w:rPr>
        <w:t>最高限价（含税）：169900元，投标报价超过最高限价的为无效报价。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29BD2DAE">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bookmarkStart w:id="12" w:name="_Toc82505654"/>
      <w:r>
        <w:rPr>
          <w:rFonts w:hint="default" w:ascii="宋体" w:hAnsi="宋体" w:eastAsia="宋体" w:cs="宋体"/>
          <w:color w:val="auto"/>
          <w:sz w:val="28"/>
          <w:szCs w:val="28"/>
          <w:highlight w:val="none"/>
          <w:lang w:val="en-US" w:eastAsia="zh-CN"/>
        </w:rPr>
        <w:t>1.满足《中华人民共和国政府采购法》第二十二条规定。</w:t>
      </w:r>
    </w:p>
    <w:p w14:paraId="61AA1105">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2.落实政府采购政策需满足的资格要求:无。</w:t>
      </w:r>
    </w:p>
    <w:p w14:paraId="72A5C5C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3.供应商必须具有合法有效的营业执照；</w:t>
      </w:r>
    </w:p>
    <w:p w14:paraId="32432818">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4.本项目不接受联合体投标。</w:t>
      </w:r>
    </w:p>
    <w:p w14:paraId="0A3365E4">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5.禁止情形：</w:t>
      </w:r>
    </w:p>
    <w:p w14:paraId="70BB6C0A">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拒绝以下投标人参与投标：</w:t>
      </w:r>
    </w:p>
    <w:p w14:paraId="53380D53">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（1）单位负责人为同一人或者存在直接控股、管理关系的不同投标人，不得参加同一合同项下的政府采购活动。</w:t>
      </w:r>
    </w:p>
    <w:p w14:paraId="15367F7A">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（2）为采购项目提供整体设计、规范编制或者项目管理、监理、检测等服务的投标人，不得再参加本采购项目的其他采购活动。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bookmarkStart w:id="56" w:name="_GoBack"/>
      <w:bookmarkEnd w:id="56"/>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w:t>
      </w:r>
      <w:r>
        <w:rPr>
          <w:rFonts w:hint="eastAsia" w:ascii="宋体" w:hAnsi="宋体" w:eastAsia="宋体" w:cs="宋体"/>
          <w:color w:val="auto"/>
          <w:sz w:val="28"/>
          <w:szCs w:val="28"/>
          <w:highlight w:val="none"/>
          <w:lang w:val="en-US" w:eastAsia="zh-CN"/>
        </w:rPr>
        <w:t>本项目免收投标保证金。</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江苏益诚建设工程咨询有限公司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  址：</w:t>
      </w:r>
      <w:r>
        <w:rPr>
          <w:rFonts w:hint="eastAsia" w:ascii="宋体" w:hAnsi="宋体" w:cs="宋体"/>
          <w:color w:val="auto"/>
          <w:sz w:val="28"/>
          <w:szCs w:val="28"/>
          <w:highlight w:val="none"/>
          <w:lang w:val="en-US" w:eastAsia="zh-CN"/>
        </w:rPr>
        <w:t>启东市民乐路万豪花园35号4楼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陈</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w:t>
      </w:r>
      <w:r>
        <w:rPr>
          <w:rFonts w:hint="eastAsia" w:ascii="宋体" w:hAnsi="宋体" w:cs="宋体"/>
          <w:color w:val="auto"/>
          <w:sz w:val="28"/>
          <w:szCs w:val="28"/>
          <w:highlight w:val="none"/>
          <w:lang w:eastAsia="zh-CN"/>
        </w:rPr>
        <w:t>83286202</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采购文件制作人：0513-</w:t>
      </w:r>
      <w:r>
        <w:rPr>
          <w:rFonts w:hint="eastAsia" w:ascii="宋体" w:hAnsi="宋体" w:cs="宋体"/>
          <w:color w:val="auto"/>
          <w:sz w:val="28"/>
          <w:szCs w:val="28"/>
          <w:highlight w:val="none"/>
          <w:lang w:eastAsia="zh-CN"/>
        </w:rPr>
        <w:t>83286202</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项目开标人：0513-</w:t>
      </w:r>
      <w:r>
        <w:rPr>
          <w:rFonts w:hint="eastAsia" w:ascii="宋体" w:hAnsi="宋体" w:cs="宋体"/>
          <w:color w:val="auto"/>
          <w:sz w:val="28"/>
          <w:szCs w:val="28"/>
          <w:highlight w:val="none"/>
          <w:lang w:eastAsia="zh-CN"/>
        </w:rPr>
        <w:t>83286202</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22736"/>
      <w:bookmarkStart w:id="19" w:name="_Toc82505661"/>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11926"/>
      <w:bookmarkStart w:id="21" w:name="_Toc82505664"/>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16938520"/>
      <w:bookmarkStart w:id="24" w:name="_Toc513029204"/>
      <w:bookmarkStart w:id="25" w:name="_Toc20823276"/>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513029205"/>
      <w:bookmarkStart w:id="27" w:name="_Toc16938521"/>
      <w:bookmarkStart w:id="28" w:name="_Toc20823277"/>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20823278"/>
      <w:bookmarkStart w:id="30" w:name="_Toc16938522"/>
      <w:bookmarkStart w:id="31" w:name="_Toc513029206"/>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513029207"/>
      <w:bookmarkStart w:id="33" w:name="_Toc462564067"/>
      <w:bookmarkStart w:id="34" w:name="_Toc16938523"/>
      <w:bookmarkStart w:id="35" w:name="_Toc20823279"/>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79F2637B">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default" w:ascii="宋体" w:hAnsi="宋体" w:eastAsia="宋体" w:cs="宋体"/>
          <w:color w:val="auto"/>
          <w:sz w:val="28"/>
          <w:szCs w:val="28"/>
          <w:highlight w:val="none"/>
          <w:lang w:val="en-US" w:eastAsia="zh-CN"/>
        </w:rPr>
        <w:t>供应商的报价采用全费用综合单价报价方式，报价包含的一切费用包括（但不限于）全部货物及辅材的提供、产品制造、材料、辅材、培训及产品运输、装卸、搬运、保管、检验、包装、运输保险费、优化设计、安装技术指导、调试、运行、技术服务支持、配合费、利润、税金、验收费、全部产品通过验收并交付使用及保修等一切费用，以及供方认为需要的其他费用等。询价文件中所有内容涉及的费用，按常规应当包括的其他费用，一次包定，结算时不再另行追加。</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513029212"/>
      <w:bookmarkStart w:id="37" w:name="_Toc16938528"/>
      <w:bookmarkStart w:id="38" w:name="_Toc20823284"/>
      <w:bookmarkStart w:id="39" w:name="_Toc462564071"/>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513029214"/>
      <w:bookmarkStart w:id="41" w:name="_Toc20823286"/>
      <w:bookmarkStart w:id="42" w:name="_Toc462564073"/>
      <w:bookmarkStart w:id="43" w:name="_Toc16938530"/>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16938531"/>
      <w:bookmarkStart w:id="45" w:name="_Toc20823287"/>
      <w:bookmarkStart w:id="46" w:name="_Toc513029215"/>
      <w:bookmarkStart w:id="47" w:name="_Toc462564074"/>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954838"/>
      <w:bookmarkEnd w:id="48"/>
      <w:bookmarkStart w:id="49" w:name="_Hlt26670360"/>
      <w:bookmarkEnd w:id="49"/>
      <w:bookmarkStart w:id="50" w:name="_Hlt26668975"/>
      <w:bookmarkEnd w:id="50"/>
      <w:bookmarkStart w:id="51" w:name="_Toc49090511"/>
      <w:bookmarkStart w:id="52" w:name="_Toc14577360"/>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lang w:val="en-US" w:eastAsia="zh-CN"/>
        </w:rPr>
        <w:t>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lang w:val="en-US" w:eastAsia="zh-CN"/>
        </w:rPr>
        <w:t>分</w:t>
      </w:r>
      <w:r>
        <w:rPr>
          <w:rFonts w:hint="eastAsia" w:ascii="宋体" w:hAnsi="宋体" w:eastAsia="宋体" w:cs="宋体"/>
          <w:b/>
          <w:bCs/>
          <w:color w:val="auto"/>
          <w:sz w:val="28"/>
          <w:szCs w:val="28"/>
          <w:highlight w:val="none"/>
        </w:rPr>
        <w:t>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5E246C5F">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1.确定成交单位</w:t>
      </w:r>
    </w:p>
    <w:p w14:paraId="7D9F158D">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1.1询价小组将从质量和服务均能满足采购文件实质性响应要求的供应商中，按照报价由低到高顺序推荐1名成交候选供应商，若报价相同时则通过抽签方式随机确定排名顺序，并编写评审报告。</w:t>
      </w:r>
    </w:p>
    <w:p w14:paraId="5F10610C">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采购人应按照询价小组推荐的成交候选供应商确定成交供应商。</w:t>
      </w:r>
    </w:p>
    <w:p w14:paraId="756429E7">
      <w:pPr>
        <w:adjustRightInd w:val="0"/>
        <w:snapToGrid w:val="0"/>
        <w:spacing w:line="500" w:lineRule="exact"/>
        <w:ind w:firstLine="560" w:firstLineChars="200"/>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8"/>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8"/>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548D4E77">
      <w:pPr>
        <w:adjustRightInd w:val="0"/>
        <w:snapToGrid w:val="0"/>
        <w:spacing w:line="500" w:lineRule="exact"/>
        <w:ind w:firstLine="560" w:firstLineChars="20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w:t>
      </w:r>
      <w:r>
        <w:rPr>
          <w:rFonts w:hint="default" w:ascii="宋体" w:hAnsi="宋体" w:eastAsia="宋体" w:cs="宋体"/>
          <w:b/>
          <w:bCs/>
          <w:color w:val="auto"/>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2F74C9C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6D45C2E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default" w:ascii="宋体" w:hAnsi="宋体" w:eastAsia="宋体" w:cs="宋体"/>
          <w:b/>
          <w:bCs/>
          <w:color w:val="auto"/>
          <w:sz w:val="28"/>
          <w:szCs w:val="28"/>
          <w:highlight w:val="none"/>
          <w:lang w:val="en-US" w:eastAsia="zh-CN"/>
        </w:rPr>
        <w:t>采购清单：</w:t>
      </w:r>
    </w:p>
    <w:tbl>
      <w:tblPr>
        <w:tblStyle w:val="16"/>
        <w:tblpPr w:leftFromText="180" w:rightFromText="180" w:vertAnchor="text" w:horzAnchor="page" w:tblpX="1879" w:tblpY="506"/>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60"/>
        <w:gridCol w:w="2764"/>
        <w:gridCol w:w="768"/>
        <w:gridCol w:w="2215"/>
      </w:tblGrid>
      <w:tr w14:paraId="6E5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730" w:type="dxa"/>
            <w:noWrap w:val="0"/>
            <w:vAlign w:val="center"/>
          </w:tcPr>
          <w:p w14:paraId="535448BC">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bookmarkStart w:id="54" w:name="_Toc82505662"/>
            <w:r>
              <w:rPr>
                <w:rFonts w:hint="eastAsia" w:ascii="宋体" w:hAnsi="宋体" w:eastAsia="宋体" w:cs="宋体"/>
                <w:b w:val="0"/>
                <w:bCs w:val="0"/>
                <w:sz w:val="24"/>
                <w:szCs w:val="24"/>
                <w:vertAlign w:val="baseline"/>
                <w:lang w:val="en-US" w:eastAsia="zh-CN"/>
              </w:rPr>
              <w:t>序号</w:t>
            </w:r>
          </w:p>
        </w:tc>
        <w:tc>
          <w:tcPr>
            <w:tcW w:w="1860" w:type="dxa"/>
            <w:noWrap w:val="0"/>
            <w:vAlign w:val="center"/>
          </w:tcPr>
          <w:p w14:paraId="18565146">
            <w:pPr>
              <w:spacing w:line="48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名称</w:t>
            </w:r>
          </w:p>
        </w:tc>
        <w:tc>
          <w:tcPr>
            <w:tcW w:w="2764" w:type="dxa"/>
            <w:noWrap w:val="0"/>
            <w:vAlign w:val="center"/>
          </w:tcPr>
          <w:p w14:paraId="061AB66A">
            <w:pPr>
              <w:spacing w:line="480" w:lineRule="auto"/>
              <w:ind w:firstLine="720" w:firstLineChars="3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规格参数</w:t>
            </w:r>
          </w:p>
        </w:tc>
        <w:tc>
          <w:tcPr>
            <w:tcW w:w="768" w:type="dxa"/>
            <w:noWrap w:val="0"/>
            <w:vAlign w:val="center"/>
          </w:tcPr>
          <w:p w14:paraId="1AC9994D">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数量</w:t>
            </w:r>
          </w:p>
        </w:tc>
        <w:tc>
          <w:tcPr>
            <w:tcW w:w="2215" w:type="dxa"/>
            <w:noWrap w:val="0"/>
            <w:vAlign w:val="center"/>
          </w:tcPr>
          <w:p w14:paraId="03539F4B">
            <w:pPr>
              <w:spacing w:line="480" w:lineRule="auto"/>
              <w:ind w:firstLine="720" w:firstLineChars="3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07FD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0" w:type="dxa"/>
            <w:noWrap w:val="0"/>
            <w:vAlign w:val="center"/>
          </w:tcPr>
          <w:p w14:paraId="6A56A4FD">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860" w:type="dxa"/>
            <w:noWrap w:val="0"/>
            <w:vAlign w:val="center"/>
          </w:tcPr>
          <w:p w14:paraId="59B2BE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空气悬浮风机</w:t>
            </w:r>
          </w:p>
          <w:p w14:paraId="7FD36B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（国产优质）</w:t>
            </w:r>
          </w:p>
        </w:tc>
        <w:tc>
          <w:tcPr>
            <w:tcW w:w="2764" w:type="dxa"/>
            <w:noWrap w:val="0"/>
            <w:vAlign w:val="center"/>
          </w:tcPr>
          <w:p w14:paraId="5D41D6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风量：47m3/min（计算值）</w:t>
            </w:r>
          </w:p>
          <w:p w14:paraId="36AAD0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风压：70~80kpa（计算值）</w:t>
            </w:r>
          </w:p>
        </w:tc>
        <w:tc>
          <w:tcPr>
            <w:tcW w:w="768" w:type="dxa"/>
            <w:noWrap w:val="0"/>
            <w:vAlign w:val="center"/>
          </w:tcPr>
          <w:p w14:paraId="5B6CCCEF">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1台</w:t>
            </w:r>
          </w:p>
        </w:tc>
        <w:tc>
          <w:tcPr>
            <w:tcW w:w="2215" w:type="dxa"/>
            <w:noWrap w:val="0"/>
            <w:vAlign w:val="center"/>
          </w:tcPr>
          <w:p w14:paraId="788CD5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品牌：江苏拓博JSTURBO、浮尔德FID BLOWER、章鼓、陕鼓、金士顿科技（河北）、雷茨RAETTS</w:t>
            </w:r>
          </w:p>
        </w:tc>
      </w:tr>
      <w:tr w14:paraId="4E08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30" w:type="dxa"/>
            <w:noWrap w:val="0"/>
            <w:vAlign w:val="center"/>
          </w:tcPr>
          <w:p w14:paraId="6BAC4CFB">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860" w:type="dxa"/>
            <w:noWrap w:val="0"/>
            <w:vAlign w:val="center"/>
          </w:tcPr>
          <w:p w14:paraId="7035CA16">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风管、阀门等</w:t>
            </w:r>
          </w:p>
        </w:tc>
        <w:tc>
          <w:tcPr>
            <w:tcW w:w="2764" w:type="dxa"/>
            <w:noWrap w:val="0"/>
            <w:vAlign w:val="center"/>
          </w:tcPr>
          <w:p w14:paraId="599891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与现有风管连接，并配套安装阀类组件</w:t>
            </w:r>
          </w:p>
        </w:tc>
        <w:tc>
          <w:tcPr>
            <w:tcW w:w="768" w:type="dxa"/>
            <w:noWrap w:val="0"/>
            <w:vAlign w:val="center"/>
          </w:tcPr>
          <w:p w14:paraId="71AC9258">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1项</w:t>
            </w:r>
          </w:p>
        </w:tc>
        <w:tc>
          <w:tcPr>
            <w:tcW w:w="2215" w:type="dxa"/>
            <w:noWrap w:val="0"/>
            <w:vAlign w:val="center"/>
          </w:tcPr>
          <w:p w14:paraId="50BB3895">
            <w:pPr>
              <w:spacing w:line="480" w:lineRule="auto"/>
              <w:jc w:val="center"/>
              <w:rPr>
                <w:rFonts w:hint="eastAsia" w:ascii="宋体" w:hAnsi="宋体" w:eastAsia="宋体" w:cs="宋体"/>
                <w:b w:val="0"/>
                <w:bCs w:val="0"/>
                <w:sz w:val="24"/>
                <w:szCs w:val="24"/>
                <w:vertAlign w:val="baseline"/>
                <w:lang w:val="en-US" w:eastAsia="zh-CN"/>
              </w:rPr>
            </w:pPr>
          </w:p>
        </w:tc>
      </w:tr>
      <w:tr w14:paraId="6C13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0" w:type="dxa"/>
            <w:noWrap w:val="0"/>
            <w:vAlign w:val="center"/>
          </w:tcPr>
          <w:p w14:paraId="3B101DD3">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860" w:type="dxa"/>
            <w:noWrap w:val="0"/>
            <w:vAlign w:val="center"/>
          </w:tcPr>
          <w:p w14:paraId="56CB1AE9">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电缆及套管</w:t>
            </w:r>
          </w:p>
        </w:tc>
        <w:tc>
          <w:tcPr>
            <w:tcW w:w="2764" w:type="dxa"/>
            <w:noWrap w:val="0"/>
            <w:vAlign w:val="center"/>
          </w:tcPr>
          <w:p w14:paraId="7A2187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连接至配电间配电柜</w:t>
            </w:r>
          </w:p>
        </w:tc>
        <w:tc>
          <w:tcPr>
            <w:tcW w:w="768" w:type="dxa"/>
            <w:noWrap w:val="0"/>
            <w:vAlign w:val="center"/>
          </w:tcPr>
          <w:p w14:paraId="500032F4">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30米</w:t>
            </w:r>
          </w:p>
        </w:tc>
        <w:tc>
          <w:tcPr>
            <w:tcW w:w="2215" w:type="dxa"/>
            <w:noWrap w:val="0"/>
            <w:vAlign w:val="center"/>
          </w:tcPr>
          <w:p w14:paraId="764236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长度以实际需求为准，价格不作调整</w:t>
            </w:r>
          </w:p>
        </w:tc>
      </w:tr>
      <w:tr w14:paraId="09E8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0" w:type="dxa"/>
            <w:noWrap w:val="0"/>
            <w:vAlign w:val="center"/>
          </w:tcPr>
          <w:p w14:paraId="46A4F6BD">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860" w:type="dxa"/>
            <w:noWrap w:val="0"/>
            <w:vAlign w:val="center"/>
          </w:tcPr>
          <w:p w14:paraId="5BD71C6F">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数据连接</w:t>
            </w:r>
          </w:p>
        </w:tc>
        <w:tc>
          <w:tcPr>
            <w:tcW w:w="2764" w:type="dxa"/>
            <w:noWrap w:val="0"/>
            <w:vAlign w:val="center"/>
          </w:tcPr>
          <w:p w14:paraId="60ECDC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与厂区现有PLC连接，实现中控室远程操作</w:t>
            </w:r>
          </w:p>
        </w:tc>
        <w:tc>
          <w:tcPr>
            <w:tcW w:w="768" w:type="dxa"/>
            <w:noWrap w:val="0"/>
            <w:vAlign w:val="center"/>
          </w:tcPr>
          <w:p w14:paraId="58D83F36">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1项</w:t>
            </w:r>
          </w:p>
        </w:tc>
        <w:tc>
          <w:tcPr>
            <w:tcW w:w="2215" w:type="dxa"/>
            <w:noWrap w:val="0"/>
            <w:vAlign w:val="center"/>
          </w:tcPr>
          <w:p w14:paraId="0D3F93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包含连接所需数据线、过路穿管等工程量</w:t>
            </w:r>
          </w:p>
        </w:tc>
      </w:tr>
      <w:tr w14:paraId="1228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37" w:type="dxa"/>
            <w:gridSpan w:val="5"/>
            <w:noWrap w:val="0"/>
            <w:vAlign w:val="center"/>
          </w:tcPr>
          <w:p w14:paraId="17FEA405">
            <w:p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注:（1）文件中的风机参数仅为计算值，报价单位必须踏勘现场，根据现场实际工艺运行状态，提供具体的风机参数。</w:t>
            </w:r>
          </w:p>
          <w:p w14:paraId="19408475">
            <w:p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（2）报价供应商如拟投产品不在参考品牌之列的，报价品牌规格参数不得低于参考的品牌且满足本次招标的规格标准及要求，同时报价供应商应当在2026年  月   日    点前向采购人提供拟投货物的技术资料及相关证明材料原件，采购人将组织进行评审，符合要求的将以补充通知的形式在相关网站予以公布，未提供或不符合要求的将被视作无效报价。</w:t>
            </w:r>
          </w:p>
        </w:tc>
      </w:tr>
      <w:bookmarkEnd w:id="54"/>
    </w:tbl>
    <w:p w14:paraId="6AD67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2.供货、安装期限：</w:t>
      </w:r>
      <w:r>
        <w:rPr>
          <w:rFonts w:hint="eastAsia" w:ascii="宋体" w:hAnsi="宋体" w:eastAsia="宋体" w:cs="宋体"/>
          <w:color w:val="auto"/>
          <w:sz w:val="28"/>
          <w:szCs w:val="28"/>
          <w:lang w:val="en-US" w:eastAsia="zh-CN"/>
        </w:rPr>
        <w:t>签订合同后20日内将所有货物送至采购人指定位置并安装、调试完毕。</w:t>
      </w:r>
    </w:p>
    <w:p w14:paraId="564B16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3.交货、安装调试地点：</w:t>
      </w:r>
      <w:r>
        <w:rPr>
          <w:rFonts w:hint="eastAsia" w:ascii="宋体" w:hAnsi="宋体" w:eastAsia="宋体" w:cs="宋体"/>
          <w:color w:val="auto"/>
          <w:sz w:val="28"/>
          <w:szCs w:val="28"/>
          <w:lang w:val="en-US" w:eastAsia="zh-CN"/>
        </w:rPr>
        <w:t>按照采购单位的要求将货物运至采购单位指定地点，并安装牢固，确保正常使用。</w:t>
      </w:r>
    </w:p>
    <w:p w14:paraId="0917E4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4.质量要求：</w:t>
      </w:r>
      <w:r>
        <w:rPr>
          <w:rFonts w:hint="eastAsia" w:ascii="宋体" w:hAnsi="宋体" w:eastAsia="宋体" w:cs="宋体"/>
          <w:color w:val="auto"/>
          <w:sz w:val="28"/>
          <w:szCs w:val="28"/>
          <w:lang w:val="zh-CN" w:eastAsia="zh-CN"/>
        </w:rPr>
        <w:t>成交供应商须提供符合采购需求、符合国家质量检测标准的全新未使用过的原装合格产品，产品质量符合询价文件要求、行业及国家标准（供货时提供相关证明材料、有效产</w:t>
      </w:r>
      <w:r>
        <w:rPr>
          <w:rFonts w:hint="eastAsia" w:ascii="宋体" w:hAnsi="宋体" w:eastAsia="宋体" w:cs="宋体"/>
          <w:color w:val="auto"/>
          <w:sz w:val="28"/>
          <w:szCs w:val="28"/>
          <w:lang w:val="en-US" w:eastAsia="zh-CN"/>
        </w:rPr>
        <w:t xml:space="preserve">品合格证）。                                                  </w:t>
      </w:r>
    </w:p>
    <w:p w14:paraId="51CCEA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5.质保、售后服务要求：</w:t>
      </w:r>
    </w:p>
    <w:p w14:paraId="5CC0ED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本项目所有货物必须提供</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lang w:val="zh-CN" w:eastAsia="zh-CN"/>
        </w:rPr>
        <w:t>年全免费质保（配件+人工）及售后服务。质保期内成交供应商应免费维修，质保期外的维修收费按国家和供应商的相关规定办理。所有设备质保时间为自验收合格之日起计。（如果货物原厂承诺的保修期高于国家规定的保修期，则按原厂承诺的执行）。</w:t>
      </w:r>
    </w:p>
    <w:p w14:paraId="210C3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2918A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在免费质保期内，同一商品、同一质量问题连续两次维修仍无法正常使用，供应商无条件给予全套更新或退货。</w:t>
      </w:r>
    </w:p>
    <w:p w14:paraId="33C10A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6.</w:t>
      </w:r>
      <w:r>
        <w:rPr>
          <w:rFonts w:hint="eastAsia" w:ascii="宋体" w:hAnsi="宋体" w:eastAsia="宋体" w:cs="宋体"/>
          <w:b/>
          <w:bCs/>
          <w:sz w:val="28"/>
          <w:szCs w:val="28"/>
          <w:lang w:val="en-US" w:eastAsia="zh-CN"/>
        </w:rPr>
        <w:t>履约保证金：</w:t>
      </w:r>
    </w:p>
    <w:p w14:paraId="39B131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成交后的履约保证金为项目成交价的10%，成交供应商的履约保证金须在成交通知书发出之日起至合同签订前汇入采购单位账户（应当以数字人民币、支票、汇票或者银行保函、保险保函等非现金形式提交），成交供应商凭成交通知书与采购单位签订合同。超期或未协商，则视为自动放弃成交资格，并列入城投集团不良信用库。</w:t>
      </w:r>
    </w:p>
    <w:p w14:paraId="485CC7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（2）成交供应商全部行义务，经采购单位验收合格无质量、进度等问题的，采购人在验收合格后一次性退还履约保证金。</w:t>
      </w:r>
    </w:p>
    <w:p w14:paraId="3AC1F3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（3）发生以下情况的，履约保证金不予退还或部分退还：</w:t>
      </w:r>
    </w:p>
    <w:p w14:paraId="299B60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a.签订合同后，成交供应商不履行合同义务的，采购单位有权全额扣除履约保证金，全额不予退还，同时采购单位亦有权终止合同，成交供应商还需承担相应的法律赔偿责任。</w:t>
      </w:r>
    </w:p>
    <w:p w14:paraId="285687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182063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7.</w:t>
      </w:r>
      <w:r>
        <w:rPr>
          <w:rFonts w:hint="eastAsia" w:ascii="宋体" w:hAnsi="宋体" w:eastAsia="宋体" w:cs="宋体"/>
          <w:b/>
          <w:bCs/>
          <w:sz w:val="28"/>
          <w:szCs w:val="28"/>
          <w:lang w:val="en-US" w:eastAsia="zh-CN"/>
        </w:rPr>
        <w:t>付款方式：</w:t>
      </w:r>
    </w:p>
    <w:p w14:paraId="557C84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承包人申请付款的程序应符合发包人的财务规定，且无条件配合发包人资金管理相关流程。中标单位应在每次付款前提供正式发票，否则付款期限相应顺延。</w:t>
      </w:r>
    </w:p>
    <w:p w14:paraId="36994D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货物安装调试完毕验收合格且无故障运行三个月后付至合同价的</w:t>
      </w:r>
      <w:r>
        <w:rPr>
          <w:rFonts w:hint="eastAsia" w:ascii="宋体" w:hAnsi="宋体" w:eastAsia="宋体" w:cs="宋体"/>
          <w:color w:val="auto"/>
          <w:sz w:val="28"/>
          <w:szCs w:val="28"/>
          <w:highlight w:val="none"/>
          <w:shd w:val="clear" w:color="auto" w:fill="auto"/>
          <w:lang w:val="en-US" w:eastAsia="zh-CN"/>
        </w:rPr>
        <w:t>90%</w:t>
      </w:r>
      <w:r>
        <w:rPr>
          <w:rFonts w:hint="eastAsia" w:ascii="宋体" w:hAnsi="宋体" w:eastAsia="宋体" w:cs="宋体"/>
          <w:color w:val="auto"/>
          <w:sz w:val="28"/>
          <w:szCs w:val="28"/>
          <w:lang w:val="en-US" w:eastAsia="zh-CN"/>
        </w:rPr>
        <w:t>，余款于质保服务期满（从验收合格之日算起）无质量问题后付清。</w:t>
      </w:r>
    </w:p>
    <w:p w14:paraId="415E78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8.</w:t>
      </w:r>
      <w:r>
        <w:rPr>
          <w:rFonts w:hint="eastAsia" w:ascii="宋体" w:hAnsi="宋体" w:eastAsia="宋体" w:cs="宋体"/>
          <w:b/>
          <w:bCs/>
          <w:sz w:val="28"/>
          <w:szCs w:val="28"/>
          <w:lang w:val="en-US" w:eastAsia="zh-CN"/>
        </w:rPr>
        <w:t>验收</w:t>
      </w:r>
    </w:p>
    <w:p w14:paraId="2080C5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lang w:val="en-US" w:eastAsia="zh-CN"/>
        </w:rPr>
        <w:t>在成交供应商供货完毕后，采购单位将组织验收小组根据询价文件和供应商报价文件对供应商所供货物进行验收，满足验收要求，通过验收。如验收或检测发现所供货物不合格，由供货商进行整改，直至通过验收，所产生的一切费用由供应商承担。</w:t>
      </w:r>
    </w:p>
    <w:p w14:paraId="4CBA22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6</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投标函及分项报价明细表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启东市城市水处理有限公司三期风机采购安装项目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70892BC8">
      <w:pPr>
        <w:snapToGrid w:val="0"/>
        <w:spacing w:line="300" w:lineRule="auto"/>
        <w:contextualSpacing/>
        <w:rPr>
          <w:rFonts w:hint="eastAsia" w:ascii="宋体" w:hAnsi="宋体" w:eastAsia="宋体" w:cs="宋体"/>
          <w:color w:val="auto"/>
          <w:sz w:val="32"/>
          <w:szCs w:val="32"/>
          <w:highlight w:val="none"/>
          <w:lang w:val="en-US" w:eastAsia="zh-CN"/>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1E419F2C">
      <w:pPr>
        <w:pStyle w:val="5"/>
        <w:jc w:val="center"/>
        <w:rPr>
          <w:rFonts w:hint="eastAsia" w:ascii="宋体" w:hAnsi="宋体" w:eastAsia="宋体" w:cs="宋体"/>
          <w:b/>
          <w:bCs/>
          <w:sz w:val="28"/>
          <w:szCs w:val="28"/>
        </w:rPr>
      </w:pPr>
      <w:r>
        <w:rPr>
          <w:rFonts w:hint="eastAsia" w:ascii="宋体" w:hAnsi="宋体" w:eastAsia="宋体" w:cs="宋体"/>
          <w:b/>
          <w:bCs/>
          <w:sz w:val="28"/>
          <w:szCs w:val="28"/>
        </w:rPr>
        <w:t>投标函</w:t>
      </w:r>
    </w:p>
    <w:p w14:paraId="719EE39F">
      <w:pPr>
        <w:pStyle w:val="5"/>
        <w:rPr>
          <w:rFonts w:hint="eastAsia" w:ascii="宋体" w:hAnsi="宋体" w:eastAsia="宋体" w:cs="宋体"/>
          <w:sz w:val="28"/>
          <w:szCs w:val="28"/>
        </w:rPr>
      </w:pPr>
    </w:p>
    <w:p w14:paraId="60110D8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u w:val="single"/>
        </w:rPr>
      </w:pPr>
      <w:r>
        <w:rPr>
          <w:rFonts w:hint="eastAsia" w:ascii="宋体" w:hAnsi="宋体" w:eastAsia="宋体" w:cs="宋体"/>
          <w:sz w:val="28"/>
          <w:szCs w:val="28"/>
          <w:u w:val="single"/>
        </w:rPr>
        <w:t>启东市城市水处理有限公司</w:t>
      </w:r>
      <w:r>
        <w:rPr>
          <w:rFonts w:hint="eastAsia" w:ascii="宋体" w:hAnsi="宋体" w:eastAsia="宋体" w:cs="宋体"/>
          <w:sz w:val="28"/>
          <w:szCs w:val="28"/>
        </w:rPr>
        <w:t>：</w:t>
      </w:r>
    </w:p>
    <w:p w14:paraId="78B9F92A">
      <w:pPr>
        <w:pStyle w:val="5"/>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贵单位关于</w:t>
      </w:r>
      <w:r>
        <w:rPr>
          <w:rFonts w:hint="eastAsia" w:ascii="宋体" w:hAnsi="宋体" w:eastAsia="宋体" w:cs="宋体"/>
          <w:sz w:val="28"/>
          <w:szCs w:val="28"/>
          <w:u w:val="single"/>
          <w:lang w:val="en-US" w:eastAsia="zh-CN"/>
        </w:rPr>
        <w:t>启东市城市水处理有限公司三期风机采购安装项目</w:t>
      </w:r>
      <w:r>
        <w:rPr>
          <w:rFonts w:hint="eastAsia" w:ascii="宋体" w:hAnsi="宋体" w:eastAsia="宋体" w:cs="宋体"/>
          <w:sz w:val="28"/>
          <w:szCs w:val="28"/>
          <w:u w:val="single"/>
        </w:rPr>
        <w:t>的</w:t>
      </w:r>
      <w:r>
        <w:rPr>
          <w:rFonts w:hint="eastAsia" w:ascii="宋体" w:hAnsi="宋体" w:eastAsia="宋体" w:cs="宋体"/>
          <w:sz w:val="28"/>
          <w:szCs w:val="28"/>
        </w:rPr>
        <w:t>《询价公告》及相关附件我单位已收悉，并对招标项目的现状及具体招标要求已充分了解并接受。</w:t>
      </w:r>
    </w:p>
    <w:p w14:paraId="67F5DCCF">
      <w:pPr>
        <w:pStyle w:val="5"/>
        <w:keepNext w:val="0"/>
        <w:keepLines w:val="0"/>
        <w:pageBreakBefore w:val="0"/>
        <w:widowControl w:val="0"/>
        <w:kinsoku/>
        <w:wordWrap/>
        <w:overflowPunct/>
        <w:topLinePunct w:val="0"/>
        <w:autoSpaceDE/>
        <w:autoSpaceDN/>
        <w:bidi w:val="0"/>
        <w:adjustRightInd/>
        <w:snapToGrid/>
        <w:spacing w:line="300" w:lineRule="auto"/>
        <w:ind w:firstLine="686" w:firstLineChars="245"/>
        <w:jc w:val="both"/>
        <w:textAlignment w:val="auto"/>
        <w:rPr>
          <w:rFonts w:hint="eastAsia" w:ascii="宋体" w:hAnsi="宋体" w:eastAsia="宋体" w:cs="宋体"/>
          <w:sz w:val="28"/>
          <w:szCs w:val="28"/>
        </w:rPr>
      </w:pPr>
      <w:r>
        <w:rPr>
          <w:rFonts w:hint="eastAsia" w:ascii="宋体" w:hAnsi="宋体" w:eastAsia="宋体" w:cs="宋体"/>
          <w:sz w:val="28"/>
          <w:szCs w:val="28"/>
        </w:rPr>
        <w:t>我单位经过对项目现场现状的考察、充分市场调研后，特报价（含税）人民币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元整（大写人民币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元整），清单明细详见报价表。</w:t>
      </w:r>
    </w:p>
    <w:p w14:paraId="2017AD12">
      <w:pPr>
        <w:pStyle w:val="5"/>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我单位承诺：将严格遵照《中华人民共和国招标投标法》、《中华人民共和国政府采购法》等有关法律法规及《询价公告》要求参与贵单位投标活动，若中标后将积极、善意履约合同，并接</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启东城投集团有限公司</w:t>
      </w:r>
      <w:r>
        <w:rPr>
          <w:rFonts w:hint="eastAsia" w:ascii="宋体" w:hAnsi="宋体" w:eastAsia="宋体" w:cs="宋体"/>
          <w:sz w:val="28"/>
          <w:szCs w:val="28"/>
        </w:rPr>
        <w:t>供应商考核办法的约束，《询价公告》和《投标函》及相关文件将构成约束双方合同的一部分。</w:t>
      </w:r>
    </w:p>
    <w:p w14:paraId="1176C580">
      <w:pPr>
        <w:pStyle w:val="5"/>
        <w:rPr>
          <w:rFonts w:hint="eastAsia" w:ascii="宋体" w:hAnsi="宋体" w:eastAsia="宋体" w:cs="宋体"/>
          <w:sz w:val="28"/>
          <w:szCs w:val="28"/>
        </w:rPr>
      </w:pPr>
    </w:p>
    <w:p w14:paraId="060BD536">
      <w:pPr>
        <w:pStyle w:val="5"/>
        <w:rPr>
          <w:rFonts w:hint="eastAsia" w:ascii="宋体" w:hAnsi="宋体" w:eastAsia="宋体" w:cs="宋体"/>
          <w:sz w:val="28"/>
          <w:szCs w:val="28"/>
        </w:rPr>
      </w:pPr>
    </w:p>
    <w:p w14:paraId="6D4D86F9">
      <w:pPr>
        <w:pStyle w:val="5"/>
        <w:rPr>
          <w:rFonts w:hint="eastAsia" w:ascii="宋体" w:hAnsi="宋体" w:eastAsia="宋体" w:cs="宋体"/>
          <w:sz w:val="28"/>
          <w:szCs w:val="28"/>
        </w:rPr>
      </w:pPr>
    </w:p>
    <w:p w14:paraId="579C56AE">
      <w:pPr>
        <w:pStyle w:val="5"/>
        <w:rPr>
          <w:rFonts w:hint="eastAsia" w:ascii="宋体" w:hAnsi="宋体" w:eastAsia="宋体" w:cs="宋体"/>
          <w:sz w:val="28"/>
          <w:szCs w:val="28"/>
        </w:rPr>
      </w:pPr>
    </w:p>
    <w:p w14:paraId="299817BE">
      <w:pPr>
        <w:spacing w:line="480" w:lineRule="auto"/>
        <w:rPr>
          <w:rFonts w:hint="eastAsia" w:ascii="宋体" w:hAnsi="宋体" w:eastAsia="宋体" w:cs="宋体"/>
          <w:bCs/>
          <w:sz w:val="28"/>
          <w:szCs w:val="28"/>
        </w:rPr>
      </w:pPr>
      <w:r>
        <w:rPr>
          <w:rFonts w:hint="eastAsia" w:ascii="宋体" w:hAnsi="宋体" w:eastAsia="宋体" w:cs="宋体"/>
          <w:bCs/>
          <w:sz w:val="28"/>
          <w:szCs w:val="28"/>
        </w:rPr>
        <w:t>供应商（盖公章）：</w:t>
      </w:r>
    </w:p>
    <w:p w14:paraId="6EFF916B">
      <w:pPr>
        <w:spacing w:line="480" w:lineRule="auto"/>
        <w:jc w:val="left"/>
        <w:rPr>
          <w:rFonts w:hint="eastAsia" w:ascii="宋体" w:hAnsi="宋体" w:eastAsia="宋体" w:cs="宋体"/>
          <w:bCs/>
          <w:sz w:val="28"/>
          <w:szCs w:val="28"/>
          <w:u w:val="single"/>
        </w:rPr>
      </w:pPr>
      <w:r>
        <w:rPr>
          <w:rFonts w:hint="eastAsia" w:ascii="宋体" w:hAnsi="宋体" w:eastAsia="宋体" w:cs="宋体"/>
          <w:bCs/>
          <w:sz w:val="28"/>
          <w:szCs w:val="28"/>
        </w:rPr>
        <w:t>法定代表人或被授权人（签字或盖章）：</w:t>
      </w:r>
    </w:p>
    <w:p w14:paraId="69901991">
      <w:pPr>
        <w:spacing w:line="480" w:lineRule="auto"/>
        <w:rPr>
          <w:rFonts w:hint="eastAsia" w:ascii="宋体" w:hAnsi="宋体" w:eastAsia="宋体" w:cs="宋体"/>
          <w:bCs/>
          <w:sz w:val="28"/>
          <w:szCs w:val="28"/>
        </w:rPr>
      </w:pPr>
      <w:r>
        <w:rPr>
          <w:rFonts w:hint="eastAsia" w:ascii="宋体" w:hAnsi="宋体" w:eastAsia="宋体" w:cs="宋体"/>
          <w:bCs/>
          <w:sz w:val="28"/>
          <w:szCs w:val="28"/>
        </w:rPr>
        <w:t>日期：</w:t>
      </w:r>
      <w:r>
        <w:rPr>
          <w:rFonts w:hint="eastAsia" w:ascii="宋体" w:hAnsi="宋体" w:eastAsia="宋体" w:cs="宋体"/>
          <w:bCs/>
          <w:sz w:val="28"/>
          <w:szCs w:val="28"/>
          <w:u w:val="none"/>
          <w:lang w:val="en-US" w:eastAsia="zh-CN"/>
        </w:rPr>
        <w:t xml:space="preserve">    </w:t>
      </w:r>
      <w:r>
        <w:rPr>
          <w:rFonts w:hint="eastAsia" w:ascii="宋体" w:hAnsi="宋体" w:eastAsia="宋体" w:cs="宋体"/>
          <w:bCs/>
          <w:sz w:val="28"/>
          <w:szCs w:val="28"/>
        </w:rPr>
        <w:t>年    月   日</w:t>
      </w:r>
    </w:p>
    <w:p w14:paraId="31C6FEC4">
      <w:pPr>
        <w:spacing w:line="480" w:lineRule="auto"/>
        <w:rPr>
          <w:rFonts w:hint="eastAsia" w:ascii="宋体" w:hAnsi="宋体" w:eastAsia="宋体" w:cs="宋体"/>
          <w:bCs/>
          <w:sz w:val="28"/>
          <w:szCs w:val="28"/>
        </w:rPr>
        <w:sectPr>
          <w:footerReference r:id="rId7" w:type="default"/>
          <w:footerReference r:id="rId8" w:type="even"/>
          <w:pgSz w:w="11906" w:h="16838"/>
          <w:pgMar w:top="1440" w:right="1800" w:bottom="1440" w:left="1800" w:header="851" w:footer="992" w:gutter="0"/>
          <w:cols w:space="720" w:num="1"/>
          <w:docGrid w:linePitch="360" w:charSpace="0"/>
        </w:sectPr>
      </w:pP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分项报价明细表</w:t>
      </w:r>
    </w:p>
    <w:tbl>
      <w:tblPr>
        <w:tblStyle w:val="16"/>
        <w:tblW w:w="10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691"/>
        <w:gridCol w:w="2966"/>
        <w:gridCol w:w="832"/>
        <w:gridCol w:w="1186"/>
        <w:gridCol w:w="1350"/>
        <w:gridCol w:w="1419"/>
        <w:gridCol w:w="865"/>
      </w:tblGrid>
      <w:tr w14:paraId="0C9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4" w:type="dxa"/>
            <w:noWrap w:val="0"/>
            <w:vAlign w:val="center"/>
          </w:tcPr>
          <w:p w14:paraId="775BD84E">
            <w:pPr>
              <w:spacing w:line="480" w:lineRule="auto"/>
              <w:ind w:left="0" w:leftChars="0" w:firstLine="0" w:firstLineChars="0"/>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91" w:type="dxa"/>
            <w:noWrap w:val="0"/>
            <w:vAlign w:val="center"/>
          </w:tcPr>
          <w:p w14:paraId="4F7BE08F">
            <w:pPr>
              <w:spacing w:line="48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2966" w:type="dxa"/>
            <w:noWrap w:val="0"/>
            <w:vAlign w:val="center"/>
          </w:tcPr>
          <w:p w14:paraId="4F3821A6">
            <w:pPr>
              <w:spacing w:line="480" w:lineRule="auto"/>
              <w:ind w:firstLine="720" w:firstLineChars="300"/>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规格参数</w:t>
            </w:r>
          </w:p>
        </w:tc>
        <w:tc>
          <w:tcPr>
            <w:tcW w:w="832" w:type="dxa"/>
            <w:noWrap w:val="0"/>
            <w:vAlign w:val="center"/>
          </w:tcPr>
          <w:p w14:paraId="5EA9C5A2">
            <w:pPr>
              <w:spacing w:line="480" w:lineRule="auto"/>
              <w:ind w:left="0" w:leftChars="0" w:firstLine="0" w:firstLineChars="0"/>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186" w:type="dxa"/>
            <w:noWrap w:val="0"/>
            <w:vAlign w:val="center"/>
          </w:tcPr>
          <w:p w14:paraId="16FA3FD9">
            <w:pPr>
              <w:spacing w:line="480" w:lineRule="auto"/>
              <w:ind w:firstLine="240" w:firstLineChars="100"/>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350" w:type="dxa"/>
            <w:noWrap w:val="0"/>
            <w:vAlign w:val="center"/>
          </w:tcPr>
          <w:p w14:paraId="09E51C18">
            <w:pPr>
              <w:spacing w:line="48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综合单价（元）</w:t>
            </w:r>
          </w:p>
        </w:tc>
        <w:tc>
          <w:tcPr>
            <w:tcW w:w="1419" w:type="dxa"/>
            <w:noWrap w:val="0"/>
            <w:vAlign w:val="center"/>
          </w:tcPr>
          <w:p w14:paraId="7D0AADA3">
            <w:pPr>
              <w:spacing w:line="480" w:lineRule="auto"/>
              <w:ind w:firstLine="240" w:firstLineChars="10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总价（元）</w:t>
            </w:r>
          </w:p>
        </w:tc>
        <w:tc>
          <w:tcPr>
            <w:tcW w:w="865" w:type="dxa"/>
            <w:noWrap w:val="0"/>
            <w:vAlign w:val="center"/>
          </w:tcPr>
          <w:p w14:paraId="603DBA39">
            <w:pPr>
              <w:spacing w:line="48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53F1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84" w:type="dxa"/>
            <w:noWrap w:val="0"/>
            <w:vAlign w:val="center"/>
          </w:tcPr>
          <w:p w14:paraId="6FD2F48B">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691" w:type="dxa"/>
            <w:noWrap w:val="0"/>
            <w:vAlign w:val="center"/>
          </w:tcPr>
          <w:p w14:paraId="5A2082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空气悬浮风机</w:t>
            </w:r>
          </w:p>
          <w:p w14:paraId="76C90F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（国产优质）</w:t>
            </w:r>
          </w:p>
        </w:tc>
        <w:tc>
          <w:tcPr>
            <w:tcW w:w="2966" w:type="dxa"/>
            <w:noWrap w:val="0"/>
            <w:vAlign w:val="center"/>
          </w:tcPr>
          <w:p w14:paraId="149CEB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风量：47m3/min（计算值）</w:t>
            </w:r>
          </w:p>
          <w:p w14:paraId="4FE8E4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风压：70~80kpa（计算值）</w:t>
            </w:r>
          </w:p>
        </w:tc>
        <w:tc>
          <w:tcPr>
            <w:tcW w:w="832" w:type="dxa"/>
            <w:noWrap w:val="0"/>
            <w:vAlign w:val="center"/>
          </w:tcPr>
          <w:p w14:paraId="589E9285">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1台</w:t>
            </w:r>
          </w:p>
        </w:tc>
        <w:tc>
          <w:tcPr>
            <w:tcW w:w="1186" w:type="dxa"/>
            <w:noWrap w:val="0"/>
            <w:vAlign w:val="center"/>
          </w:tcPr>
          <w:p w14:paraId="01A236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4"/>
                <w:szCs w:val="24"/>
                <w:vertAlign w:val="baseline"/>
                <w:lang w:val="en-US" w:eastAsia="zh-CN"/>
              </w:rPr>
            </w:pPr>
          </w:p>
        </w:tc>
        <w:tc>
          <w:tcPr>
            <w:tcW w:w="1350" w:type="dxa"/>
            <w:noWrap w:val="0"/>
            <w:vAlign w:val="center"/>
          </w:tcPr>
          <w:p w14:paraId="1C26ED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4"/>
                <w:szCs w:val="24"/>
                <w:vertAlign w:val="baseline"/>
                <w:lang w:val="en-US" w:eastAsia="zh-CN"/>
              </w:rPr>
            </w:pPr>
          </w:p>
        </w:tc>
        <w:tc>
          <w:tcPr>
            <w:tcW w:w="1419" w:type="dxa"/>
            <w:noWrap w:val="0"/>
            <w:vAlign w:val="center"/>
          </w:tcPr>
          <w:p w14:paraId="3B0C45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4"/>
                <w:szCs w:val="24"/>
                <w:vertAlign w:val="baseline"/>
                <w:lang w:val="en-US" w:eastAsia="zh-CN"/>
              </w:rPr>
            </w:pPr>
          </w:p>
        </w:tc>
        <w:tc>
          <w:tcPr>
            <w:tcW w:w="865" w:type="dxa"/>
            <w:noWrap w:val="0"/>
            <w:vAlign w:val="center"/>
          </w:tcPr>
          <w:p w14:paraId="4E0C8A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4"/>
                <w:szCs w:val="24"/>
                <w:vertAlign w:val="baseline"/>
                <w:lang w:val="en-US" w:eastAsia="zh-CN"/>
              </w:rPr>
            </w:pPr>
          </w:p>
        </w:tc>
      </w:tr>
      <w:tr w14:paraId="2D00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4" w:type="dxa"/>
            <w:noWrap w:val="0"/>
            <w:vAlign w:val="center"/>
          </w:tcPr>
          <w:p w14:paraId="383A1C42">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691" w:type="dxa"/>
            <w:noWrap w:val="0"/>
            <w:vAlign w:val="center"/>
          </w:tcPr>
          <w:p w14:paraId="00705FC6">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风管、阀门等</w:t>
            </w:r>
          </w:p>
        </w:tc>
        <w:tc>
          <w:tcPr>
            <w:tcW w:w="2966" w:type="dxa"/>
            <w:noWrap w:val="0"/>
            <w:vAlign w:val="center"/>
          </w:tcPr>
          <w:p w14:paraId="4B0806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与现有风管连接，并配套安装阀类组件</w:t>
            </w:r>
          </w:p>
        </w:tc>
        <w:tc>
          <w:tcPr>
            <w:tcW w:w="832" w:type="dxa"/>
            <w:noWrap w:val="0"/>
            <w:vAlign w:val="center"/>
          </w:tcPr>
          <w:p w14:paraId="29CB0B5B">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1项</w:t>
            </w:r>
          </w:p>
        </w:tc>
        <w:tc>
          <w:tcPr>
            <w:tcW w:w="1186" w:type="dxa"/>
            <w:noWrap w:val="0"/>
            <w:vAlign w:val="center"/>
          </w:tcPr>
          <w:p w14:paraId="7B9EC50E">
            <w:pPr>
              <w:spacing w:line="480" w:lineRule="auto"/>
              <w:jc w:val="center"/>
              <w:rPr>
                <w:rFonts w:hint="eastAsia" w:ascii="宋体" w:hAnsi="宋体" w:eastAsia="宋体" w:cs="宋体"/>
                <w:b w:val="0"/>
                <w:bCs w:val="0"/>
                <w:sz w:val="24"/>
                <w:szCs w:val="24"/>
                <w:vertAlign w:val="baseline"/>
                <w:lang w:val="en-US" w:eastAsia="zh-CN"/>
              </w:rPr>
            </w:pPr>
          </w:p>
        </w:tc>
        <w:tc>
          <w:tcPr>
            <w:tcW w:w="1350" w:type="dxa"/>
            <w:noWrap w:val="0"/>
            <w:vAlign w:val="center"/>
          </w:tcPr>
          <w:p w14:paraId="499F106C">
            <w:pPr>
              <w:spacing w:line="480" w:lineRule="auto"/>
              <w:jc w:val="center"/>
              <w:rPr>
                <w:rFonts w:hint="eastAsia" w:ascii="宋体" w:hAnsi="宋体" w:eastAsia="宋体" w:cs="宋体"/>
                <w:b w:val="0"/>
                <w:bCs w:val="0"/>
                <w:sz w:val="24"/>
                <w:szCs w:val="24"/>
                <w:vertAlign w:val="baseline"/>
                <w:lang w:val="en-US" w:eastAsia="zh-CN"/>
              </w:rPr>
            </w:pPr>
          </w:p>
        </w:tc>
        <w:tc>
          <w:tcPr>
            <w:tcW w:w="1419" w:type="dxa"/>
            <w:noWrap w:val="0"/>
            <w:vAlign w:val="center"/>
          </w:tcPr>
          <w:p w14:paraId="20D5C4B5">
            <w:pPr>
              <w:spacing w:line="480" w:lineRule="auto"/>
              <w:jc w:val="center"/>
              <w:rPr>
                <w:rFonts w:hint="eastAsia" w:ascii="宋体" w:hAnsi="宋体" w:eastAsia="宋体" w:cs="宋体"/>
                <w:b w:val="0"/>
                <w:bCs w:val="0"/>
                <w:sz w:val="24"/>
                <w:szCs w:val="24"/>
                <w:vertAlign w:val="baseline"/>
                <w:lang w:val="en-US" w:eastAsia="zh-CN"/>
              </w:rPr>
            </w:pPr>
          </w:p>
        </w:tc>
        <w:tc>
          <w:tcPr>
            <w:tcW w:w="865" w:type="dxa"/>
            <w:noWrap w:val="0"/>
            <w:vAlign w:val="center"/>
          </w:tcPr>
          <w:p w14:paraId="07E983C1">
            <w:pPr>
              <w:spacing w:line="480" w:lineRule="auto"/>
              <w:jc w:val="center"/>
              <w:rPr>
                <w:rFonts w:hint="eastAsia" w:ascii="宋体" w:hAnsi="宋体" w:eastAsia="宋体" w:cs="宋体"/>
                <w:b w:val="0"/>
                <w:bCs w:val="0"/>
                <w:sz w:val="24"/>
                <w:szCs w:val="24"/>
                <w:vertAlign w:val="baseline"/>
                <w:lang w:val="en-US" w:eastAsia="zh-CN"/>
              </w:rPr>
            </w:pPr>
          </w:p>
        </w:tc>
      </w:tr>
      <w:tr w14:paraId="4BA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4" w:type="dxa"/>
            <w:noWrap w:val="0"/>
            <w:vAlign w:val="center"/>
          </w:tcPr>
          <w:p w14:paraId="45F651D6">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691" w:type="dxa"/>
            <w:noWrap w:val="0"/>
            <w:vAlign w:val="center"/>
          </w:tcPr>
          <w:p w14:paraId="3F28AAEF">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电缆及套管</w:t>
            </w:r>
          </w:p>
        </w:tc>
        <w:tc>
          <w:tcPr>
            <w:tcW w:w="2966" w:type="dxa"/>
            <w:noWrap w:val="0"/>
            <w:vAlign w:val="center"/>
          </w:tcPr>
          <w:p w14:paraId="0BD0BA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连接至配电间配电柜</w:t>
            </w:r>
          </w:p>
        </w:tc>
        <w:tc>
          <w:tcPr>
            <w:tcW w:w="832" w:type="dxa"/>
            <w:noWrap w:val="0"/>
            <w:vAlign w:val="center"/>
          </w:tcPr>
          <w:p w14:paraId="3917D77B">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30米</w:t>
            </w:r>
          </w:p>
        </w:tc>
        <w:tc>
          <w:tcPr>
            <w:tcW w:w="1186" w:type="dxa"/>
            <w:noWrap w:val="0"/>
            <w:vAlign w:val="center"/>
          </w:tcPr>
          <w:p w14:paraId="0F6AF8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1350" w:type="dxa"/>
            <w:noWrap w:val="0"/>
            <w:vAlign w:val="center"/>
          </w:tcPr>
          <w:p w14:paraId="67B9DA8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1419" w:type="dxa"/>
            <w:noWrap w:val="0"/>
            <w:vAlign w:val="center"/>
          </w:tcPr>
          <w:p w14:paraId="087CA3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865" w:type="dxa"/>
            <w:noWrap w:val="0"/>
            <w:vAlign w:val="center"/>
          </w:tcPr>
          <w:p w14:paraId="1B265C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r>
      <w:tr w14:paraId="0038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4" w:type="dxa"/>
            <w:noWrap w:val="0"/>
            <w:vAlign w:val="center"/>
          </w:tcPr>
          <w:p w14:paraId="5DB8C3CF">
            <w:pPr>
              <w:spacing w:line="480" w:lineRule="auto"/>
              <w:ind w:left="0" w:leftChars="0"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691" w:type="dxa"/>
            <w:noWrap w:val="0"/>
            <w:vAlign w:val="center"/>
          </w:tcPr>
          <w:p w14:paraId="3F3EAEF7">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数据连接</w:t>
            </w:r>
          </w:p>
        </w:tc>
        <w:tc>
          <w:tcPr>
            <w:tcW w:w="2966" w:type="dxa"/>
            <w:noWrap w:val="0"/>
            <w:vAlign w:val="center"/>
          </w:tcPr>
          <w:p w14:paraId="500E0C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与厂区现有PLC连接，实现中控室远程操作</w:t>
            </w:r>
          </w:p>
        </w:tc>
        <w:tc>
          <w:tcPr>
            <w:tcW w:w="832" w:type="dxa"/>
            <w:noWrap w:val="0"/>
            <w:vAlign w:val="center"/>
          </w:tcPr>
          <w:p w14:paraId="1F88103C">
            <w:pPr>
              <w:spacing w:line="48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1项</w:t>
            </w:r>
          </w:p>
        </w:tc>
        <w:tc>
          <w:tcPr>
            <w:tcW w:w="1186" w:type="dxa"/>
            <w:noWrap w:val="0"/>
            <w:vAlign w:val="center"/>
          </w:tcPr>
          <w:p w14:paraId="1E8CEF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1350" w:type="dxa"/>
            <w:noWrap w:val="0"/>
            <w:vAlign w:val="center"/>
          </w:tcPr>
          <w:p w14:paraId="656E94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1419" w:type="dxa"/>
            <w:noWrap w:val="0"/>
            <w:vAlign w:val="center"/>
          </w:tcPr>
          <w:p w14:paraId="4F6B68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c>
          <w:tcPr>
            <w:tcW w:w="865" w:type="dxa"/>
            <w:noWrap w:val="0"/>
            <w:vAlign w:val="center"/>
          </w:tcPr>
          <w:p w14:paraId="491E04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FF0000"/>
                <w:sz w:val="24"/>
                <w:szCs w:val="24"/>
                <w:vertAlign w:val="baseline"/>
                <w:lang w:val="en-US" w:eastAsia="zh-CN"/>
              </w:rPr>
            </w:pPr>
          </w:p>
        </w:tc>
      </w:tr>
      <w:tr w14:paraId="4D19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4" w:type="dxa"/>
            <w:noWrap w:val="0"/>
            <w:vAlign w:val="center"/>
          </w:tcPr>
          <w:p w14:paraId="595FC059">
            <w:p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合计</w:t>
            </w:r>
          </w:p>
        </w:tc>
        <w:tc>
          <w:tcPr>
            <w:tcW w:w="10309" w:type="dxa"/>
            <w:gridSpan w:val="7"/>
            <w:noWrap w:val="0"/>
            <w:vAlign w:val="center"/>
          </w:tcPr>
          <w:p w14:paraId="5077ADD1">
            <w:p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大写：元</w:t>
            </w:r>
          </w:p>
          <w:p w14:paraId="2B89222B">
            <w:p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小写：元</w:t>
            </w:r>
          </w:p>
        </w:tc>
      </w:tr>
    </w:tbl>
    <w:p w14:paraId="7CE7D862">
      <w:pPr>
        <w:spacing w:line="312" w:lineRule="auto"/>
        <w:jc w:val="center"/>
        <w:rPr>
          <w:rFonts w:hint="eastAsia" w:ascii="宋体" w:hAnsi="宋体" w:eastAsia="宋体" w:cs="宋体"/>
          <w:b/>
          <w:color w:val="auto"/>
          <w:sz w:val="32"/>
          <w:szCs w:val="32"/>
          <w:highlight w:val="none"/>
        </w:rPr>
      </w:pPr>
    </w:p>
    <w:p w14:paraId="4B4A11D3">
      <w:pPr>
        <w:spacing w:line="480" w:lineRule="auto"/>
        <w:rPr>
          <w:rFonts w:hint="eastAsia" w:ascii="宋体" w:hAnsi="宋体" w:eastAsia="宋体" w:cs="宋体"/>
          <w:bCs/>
          <w:sz w:val="28"/>
          <w:szCs w:val="28"/>
        </w:rPr>
      </w:pPr>
      <w:r>
        <w:rPr>
          <w:rFonts w:hint="eastAsia" w:ascii="宋体" w:hAnsi="宋体" w:eastAsia="宋体" w:cs="宋体"/>
          <w:bCs/>
          <w:sz w:val="28"/>
          <w:szCs w:val="28"/>
        </w:rPr>
        <w:t>供应商（盖公章）：</w:t>
      </w:r>
    </w:p>
    <w:p w14:paraId="5EAE3132">
      <w:pPr>
        <w:spacing w:line="480" w:lineRule="auto"/>
        <w:jc w:val="left"/>
        <w:rPr>
          <w:rFonts w:hint="eastAsia" w:ascii="宋体" w:hAnsi="宋体" w:eastAsia="宋体" w:cs="宋体"/>
          <w:bCs/>
          <w:sz w:val="28"/>
          <w:szCs w:val="28"/>
          <w:u w:val="single"/>
        </w:rPr>
      </w:pPr>
      <w:r>
        <w:rPr>
          <w:rFonts w:hint="eastAsia" w:ascii="宋体" w:hAnsi="宋体" w:eastAsia="宋体" w:cs="宋体"/>
          <w:bCs/>
          <w:sz w:val="28"/>
          <w:szCs w:val="28"/>
        </w:rPr>
        <w:t>法定代表人或被授权人（签字或盖章）：</w:t>
      </w:r>
    </w:p>
    <w:p w14:paraId="6D3F489C">
      <w:pPr>
        <w:spacing w:line="480" w:lineRule="auto"/>
        <w:rPr>
          <w:rFonts w:hint="eastAsia" w:ascii="宋体" w:hAnsi="宋体" w:eastAsia="宋体" w:cs="宋体"/>
          <w:bCs/>
          <w:sz w:val="28"/>
          <w:szCs w:val="28"/>
        </w:rPr>
      </w:pPr>
      <w:r>
        <w:rPr>
          <w:rFonts w:hint="eastAsia" w:ascii="宋体" w:hAnsi="宋体" w:eastAsia="宋体" w:cs="宋体"/>
          <w:bCs/>
          <w:sz w:val="28"/>
          <w:szCs w:val="28"/>
        </w:rPr>
        <w:t>日期：</w:t>
      </w:r>
      <w:r>
        <w:rPr>
          <w:rFonts w:hint="eastAsia" w:ascii="宋体" w:hAnsi="宋体" w:eastAsia="宋体" w:cs="宋体"/>
          <w:bCs/>
          <w:sz w:val="28"/>
          <w:szCs w:val="28"/>
          <w:u w:val="none"/>
          <w:lang w:val="en-US" w:eastAsia="zh-CN"/>
        </w:rPr>
        <w:t xml:space="preserve">    </w:t>
      </w:r>
      <w:r>
        <w:rPr>
          <w:rFonts w:hint="eastAsia" w:ascii="宋体" w:hAnsi="宋体" w:eastAsia="宋体" w:cs="宋体"/>
          <w:bCs/>
          <w:sz w:val="28"/>
          <w:szCs w:val="28"/>
        </w:rPr>
        <w:t>年    月   日</w:t>
      </w:r>
    </w:p>
    <w:p w14:paraId="5E39BA50">
      <w:pPr>
        <w:snapToGrid w:val="0"/>
        <w:spacing w:line="300" w:lineRule="auto"/>
        <w:outlineLvl w:val="0"/>
        <w:rPr>
          <w:rFonts w:hint="eastAsia" w:ascii="宋体" w:hAnsi="宋体" w:eastAsia="宋体" w:cs="宋体"/>
          <w:color w:val="auto"/>
          <w:sz w:val="32"/>
          <w:szCs w:val="32"/>
          <w:highlight w:val="none"/>
        </w:rPr>
      </w:pPr>
    </w:p>
    <w:p w14:paraId="5BC1B377">
      <w:pPr>
        <w:snapToGrid w:val="0"/>
        <w:spacing w:line="300" w:lineRule="auto"/>
        <w:outlineLvl w:val="0"/>
        <w:rPr>
          <w:rFonts w:hint="eastAsia" w:ascii="宋体" w:hAnsi="宋体" w:eastAsia="宋体" w:cs="宋体"/>
          <w:color w:val="auto"/>
          <w:sz w:val="32"/>
          <w:szCs w:val="32"/>
          <w:highlight w:val="none"/>
        </w:rPr>
      </w:pPr>
    </w:p>
    <w:p w14:paraId="72879433">
      <w:pPr>
        <w:snapToGrid w:val="0"/>
        <w:spacing w:line="300" w:lineRule="auto"/>
        <w:outlineLvl w:val="0"/>
        <w:rPr>
          <w:rFonts w:hint="eastAsia" w:ascii="宋体" w:hAnsi="宋体" w:eastAsia="宋体" w:cs="宋体"/>
          <w:color w:val="auto"/>
          <w:sz w:val="32"/>
          <w:szCs w:val="32"/>
          <w:highlight w:val="none"/>
        </w:rPr>
      </w:pPr>
    </w:p>
    <w:p w14:paraId="24028B07">
      <w:pPr>
        <w:snapToGrid w:val="0"/>
        <w:spacing w:line="300" w:lineRule="auto"/>
        <w:outlineLvl w:val="0"/>
        <w:rPr>
          <w:rFonts w:hint="eastAsia" w:ascii="宋体" w:hAnsi="宋体" w:eastAsia="宋体" w:cs="宋体"/>
          <w:color w:val="auto"/>
          <w:sz w:val="32"/>
          <w:szCs w:val="32"/>
          <w:highlight w:val="none"/>
        </w:rPr>
      </w:pPr>
    </w:p>
    <w:p w14:paraId="0AFE7535">
      <w:pPr>
        <w:snapToGrid w:val="0"/>
        <w:spacing w:line="300" w:lineRule="auto"/>
        <w:outlineLvl w:val="0"/>
        <w:rPr>
          <w:rFonts w:hint="eastAsia" w:ascii="宋体" w:hAnsi="宋体" w:eastAsia="宋体" w:cs="宋体"/>
          <w:color w:val="auto"/>
          <w:sz w:val="32"/>
          <w:szCs w:val="32"/>
          <w:highlight w:val="none"/>
        </w:rPr>
      </w:pPr>
    </w:p>
    <w:p w14:paraId="3A31CDC5">
      <w:pPr>
        <w:snapToGrid w:val="0"/>
        <w:spacing w:line="300" w:lineRule="auto"/>
        <w:outlineLvl w:val="0"/>
        <w:rPr>
          <w:rFonts w:hint="eastAsia" w:ascii="宋体" w:hAnsi="宋体" w:eastAsia="宋体" w:cs="宋体"/>
          <w:color w:val="auto"/>
          <w:sz w:val="32"/>
          <w:szCs w:val="32"/>
          <w:highlight w:val="none"/>
        </w:rPr>
      </w:pPr>
    </w:p>
    <w:p w14:paraId="2BC266E1">
      <w:pPr>
        <w:snapToGrid w:val="0"/>
        <w:spacing w:line="300" w:lineRule="auto"/>
        <w:outlineLvl w:val="0"/>
        <w:rPr>
          <w:rFonts w:hint="eastAsia" w:ascii="宋体" w:hAnsi="宋体" w:eastAsia="宋体" w:cs="宋体"/>
          <w:color w:val="auto"/>
          <w:sz w:val="32"/>
          <w:szCs w:val="32"/>
          <w:highlight w:val="none"/>
        </w:rPr>
      </w:pPr>
    </w:p>
    <w:p w14:paraId="159D9CF3">
      <w:pPr>
        <w:snapToGrid w:val="0"/>
        <w:spacing w:line="300" w:lineRule="auto"/>
        <w:outlineLvl w:val="0"/>
        <w:rPr>
          <w:rFonts w:hint="eastAsia" w:ascii="宋体" w:hAnsi="宋体" w:eastAsia="宋体" w:cs="宋体"/>
          <w:color w:val="auto"/>
          <w:sz w:val="32"/>
          <w:szCs w:val="32"/>
          <w:highlight w:val="none"/>
        </w:rPr>
      </w:pPr>
    </w:p>
    <w:p w14:paraId="1B5E53B1">
      <w:pPr>
        <w:snapToGrid w:val="0"/>
        <w:spacing w:line="300" w:lineRule="auto"/>
        <w:outlineLvl w:val="0"/>
        <w:rPr>
          <w:rFonts w:hint="eastAsia" w:ascii="宋体" w:hAnsi="宋体" w:eastAsia="宋体" w:cs="宋体"/>
          <w:color w:val="auto"/>
          <w:sz w:val="32"/>
          <w:szCs w:val="32"/>
          <w:highlight w:val="none"/>
        </w:rPr>
      </w:pPr>
    </w:p>
    <w:p w14:paraId="464CCD23">
      <w:pPr>
        <w:snapToGrid w:val="0"/>
        <w:spacing w:line="300" w:lineRule="auto"/>
        <w:outlineLvl w:val="0"/>
        <w:rPr>
          <w:rFonts w:hint="eastAsia" w:ascii="宋体" w:hAnsi="宋体" w:eastAsia="宋体" w:cs="宋体"/>
          <w:color w:val="auto"/>
          <w:sz w:val="32"/>
          <w:szCs w:val="32"/>
          <w:highlight w:val="none"/>
        </w:rPr>
      </w:pP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1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1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1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1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1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1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56577A"/>
    <w:rsid w:val="0B6727D9"/>
    <w:rsid w:val="0B685928"/>
    <w:rsid w:val="0B6902FF"/>
    <w:rsid w:val="0B700E0C"/>
    <w:rsid w:val="0B8373C0"/>
    <w:rsid w:val="0BDE7642"/>
    <w:rsid w:val="0BE33E15"/>
    <w:rsid w:val="0BEB6F66"/>
    <w:rsid w:val="0C632FA1"/>
    <w:rsid w:val="0C776A4C"/>
    <w:rsid w:val="0C7C4643"/>
    <w:rsid w:val="0C881AC2"/>
    <w:rsid w:val="0C920890"/>
    <w:rsid w:val="0CAF61E6"/>
    <w:rsid w:val="0CC32F3E"/>
    <w:rsid w:val="0D076022"/>
    <w:rsid w:val="0D4E7EB0"/>
    <w:rsid w:val="0D616EF9"/>
    <w:rsid w:val="0D805053"/>
    <w:rsid w:val="0D8853B5"/>
    <w:rsid w:val="0D9755F8"/>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B5429E"/>
    <w:rsid w:val="11C15A98"/>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F1DBE"/>
    <w:rsid w:val="18F71640"/>
    <w:rsid w:val="19113420"/>
    <w:rsid w:val="197113F3"/>
    <w:rsid w:val="197467ED"/>
    <w:rsid w:val="19D706F0"/>
    <w:rsid w:val="19D776B9"/>
    <w:rsid w:val="1A060CB7"/>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F4451"/>
    <w:rsid w:val="21260264"/>
    <w:rsid w:val="21411C9A"/>
    <w:rsid w:val="215D225D"/>
    <w:rsid w:val="219E4D4F"/>
    <w:rsid w:val="21E169EA"/>
    <w:rsid w:val="21E95CE4"/>
    <w:rsid w:val="22087C03"/>
    <w:rsid w:val="22145011"/>
    <w:rsid w:val="224B3EF8"/>
    <w:rsid w:val="22901A6A"/>
    <w:rsid w:val="22995516"/>
    <w:rsid w:val="22A81D4C"/>
    <w:rsid w:val="22BB2971"/>
    <w:rsid w:val="22BE373D"/>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7926B8"/>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450009"/>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52B5B"/>
    <w:rsid w:val="3B5E6FF3"/>
    <w:rsid w:val="3B6228E3"/>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C14F5E"/>
    <w:rsid w:val="42C45840"/>
    <w:rsid w:val="42DE0FF8"/>
    <w:rsid w:val="42EA174A"/>
    <w:rsid w:val="43470E11"/>
    <w:rsid w:val="434F416E"/>
    <w:rsid w:val="43602C8F"/>
    <w:rsid w:val="43754D8C"/>
    <w:rsid w:val="43AE09CA"/>
    <w:rsid w:val="440B0B14"/>
    <w:rsid w:val="44586B88"/>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966949"/>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0"/>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7"/>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w:basedOn w:val="6"/>
    <w:next w:val="14"/>
    <w:qFormat/>
    <w:uiPriority w:val="0"/>
    <w:pPr>
      <w:ind w:firstLine="420" w:firstLineChars="100"/>
    </w:pPr>
  </w:style>
  <w:style w:type="paragraph" w:styleId="14">
    <w:name w:val="Body Text First Indent 2"/>
    <w:basedOn w:val="7"/>
    <w:next w:val="1"/>
    <w:qFormat/>
    <w:uiPriority w:val="0"/>
    <w:pPr>
      <w:spacing w:after="120"/>
      <w:ind w:firstLine="420" w:firstLineChars="200"/>
    </w:pPr>
    <w:rPr>
      <w:rFonts w:ascii="Times New Roman" w:hAnsi="Times New Roman"/>
      <w:szCs w:val="2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9">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0">
    <w:name w:val="首行缩进"/>
    <w:basedOn w:val="1"/>
    <w:qFormat/>
    <w:uiPriority w:val="0"/>
    <w:pPr>
      <w:spacing w:line="360" w:lineRule="auto"/>
      <w:ind w:firstLine="480" w:firstLineChars="200"/>
    </w:pPr>
    <w:rPr>
      <w:rFonts w:ascii="Times New Roman" w:hAnsi="Times New Roman"/>
      <w:szCs w:val="20"/>
    </w:rPr>
  </w:style>
  <w:style w:type="character" w:customStyle="1" w:styleId="31">
    <w:name w:val="first-child"/>
    <w:basedOn w:val="17"/>
    <w:qFormat/>
    <w:uiPriority w:val="0"/>
  </w:style>
  <w:style w:type="character" w:customStyle="1" w:styleId="32">
    <w:name w:val="hover2"/>
    <w:basedOn w:val="17"/>
    <w:qFormat/>
    <w:uiPriority w:val="0"/>
    <w:rPr>
      <w:color w:val="5FB878"/>
    </w:rPr>
  </w:style>
  <w:style w:type="character" w:customStyle="1" w:styleId="33">
    <w:name w:val="hover3"/>
    <w:basedOn w:val="17"/>
    <w:qFormat/>
    <w:uiPriority w:val="0"/>
    <w:rPr>
      <w:color w:val="5FB878"/>
    </w:rPr>
  </w:style>
  <w:style w:type="character" w:customStyle="1" w:styleId="34">
    <w:name w:val="hover4"/>
    <w:basedOn w:val="17"/>
    <w:qFormat/>
    <w:uiPriority w:val="0"/>
    <w:rPr>
      <w:color w:val="FFFFFF"/>
    </w:rPr>
  </w:style>
  <w:style w:type="character" w:customStyle="1" w:styleId="35">
    <w:name w:val="layui-this"/>
    <w:basedOn w:val="17"/>
    <w:qFormat/>
    <w:uiPriority w:val="0"/>
    <w:rPr>
      <w:bdr w:val="single" w:color="EEEEEE" w:sz="6" w:space="0"/>
      <w:shd w:val="clear" w:color="auto" w:fill="FFFFFF"/>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7">
    <w:name w:val="页脚 Char"/>
    <w:basedOn w:val="17"/>
    <w:link w:val="10"/>
    <w:qFormat/>
    <w:uiPriority w:val="99"/>
    <w:rPr>
      <w:rFonts w:ascii="Calibri" w:hAnsi="Calibri"/>
      <w:kern w:val="2"/>
      <w:sz w:val="18"/>
      <w:szCs w:val="24"/>
    </w:rPr>
  </w:style>
  <w:style w:type="paragraph" w:styleId="38">
    <w:name w:val="List Paragraph"/>
    <w:basedOn w:val="1"/>
    <w:qFormat/>
    <w:uiPriority w:val="99"/>
    <w:pPr>
      <w:ind w:firstLine="420" w:firstLineChars="200"/>
    </w:pPr>
  </w:style>
  <w:style w:type="character" w:customStyle="1" w:styleId="39">
    <w:name w:val="标题 1 Char"/>
    <w:link w:val="2"/>
    <w:qFormat/>
    <w:uiPriority w:val="0"/>
    <w:rPr>
      <w:b/>
      <w:kern w:val="44"/>
      <w:sz w:val="44"/>
    </w:rPr>
  </w:style>
  <w:style w:type="character" w:customStyle="1" w:styleId="40">
    <w:name w:val="文档结构图 Char"/>
    <w:basedOn w:val="17"/>
    <w:link w:val="5"/>
    <w:semiHidden/>
    <w:qFormat/>
    <w:uiPriority w:val="0"/>
    <w:rPr>
      <w:rFonts w:ascii="Microsoft YaHei UI" w:hAnsi="Calibri" w:eastAsia="Microsoft YaHei UI"/>
      <w:kern w:val="2"/>
      <w:sz w:val="18"/>
      <w:szCs w:val="18"/>
    </w:rPr>
  </w:style>
  <w:style w:type="paragraph" w:customStyle="1" w:styleId="41">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12836</Words>
  <Characters>13201</Characters>
  <Lines>140</Lines>
  <Paragraphs>39</Paragraphs>
  <TotalTime>7</TotalTime>
  <ScaleCrop>false</ScaleCrop>
  <LinksUpToDate>false</LinksUpToDate>
  <CharactersWithSpaces>14007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玫瑰</cp:lastModifiedBy>
  <cp:lastPrinted>2024-10-10T06:11:00Z</cp:lastPrinted>
  <dcterms:modified xsi:type="dcterms:W3CDTF">2026-05-06T03:20:40Z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0D1648468CB74DF9BF7161432D28C45A_13</vt:lpwstr>
  </property>
  <property fmtid="{D5CDD505-2E9C-101B-9397-08002B2CF9AE}" pid="4" name="KSOTemplateDocerSaveRecord">
    <vt:lpwstr>eyJoZGlkIjoiMDU1OGY3ODY5ZDhiMDkzZTI4ZWJmNzk2N2M0M2RmYWEiLCJ1c2VySWQiOiI1MDQwMDk3NjUifQ==</vt:lpwstr>
  </property>
</Properties>
</file>