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DEE1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启东市城市水处理有限公司东元分公司UPS电源更换项目（二次）报价表</w:t>
      </w:r>
    </w:p>
    <w:p w14:paraId="3F05BB69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6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59"/>
        <w:gridCol w:w="1064"/>
        <w:gridCol w:w="1132"/>
        <w:gridCol w:w="1234"/>
        <w:gridCol w:w="1561"/>
      </w:tblGrid>
      <w:tr w14:paraId="7AE7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电池型号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</w:tr>
      <w:tr w14:paraId="1CA7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MF24-12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OTP、雷迪司、风帆</w:t>
            </w:r>
          </w:p>
        </w:tc>
      </w:tr>
      <w:tr w14:paraId="5A5B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6-GFM-24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D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A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7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81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7D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4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BED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小写：</w:t>
            </w:r>
          </w:p>
        </w:tc>
      </w:tr>
    </w:tbl>
    <w:p w14:paraId="240185A0">
      <w:pPr>
        <w:bidi w:val="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</w:p>
    <w:p w14:paraId="2D0154DC">
      <w:pPr>
        <w:bidi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备注：1.安装人员必须具有高压电工证和低压电工证；</w:t>
      </w:r>
    </w:p>
    <w:p w14:paraId="6F00467E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建议该项目报价前进行实地踏勘；</w:t>
      </w:r>
    </w:p>
    <w:p w14:paraId="2481941D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本项目改造过程中不得影响正常生产；</w:t>
      </w:r>
    </w:p>
    <w:p w14:paraId="44EBAE6A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该项目改造后确保厂区不跳闸。竣工验收后质保1年。质保期间因厂区跳闸，产生电路维修的任何费用均由中标方承担。如发生跳闸停电，中标方需2小时内到现场，8小时内修复完毕。</w:t>
      </w:r>
    </w:p>
    <w:p w14:paraId="24B7E820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以上费用包括(但不限于)全部货物及辅材的提供、产品制造、质保期内易损件、备品备件、材料、辅材、培训及产品运输、装卸、搬运、保管、 检验、包装、运输保险费、安装、调试、地面开槽、运行、技术服务支持、保修</w:t>
      </w:r>
      <w:bookmarkStart w:id="0" w:name="_GoBack"/>
      <w:bookmarkEnd w:id="0"/>
      <w:r>
        <w:rPr>
          <w:rFonts w:hint="eastAsia"/>
          <w:lang w:val="en-US" w:eastAsia="zh-CN"/>
        </w:rPr>
        <w:t>期内维保服务配合费、利润、税金、验收费、全部产品通过验收并交付使用及保修等一切费用，以及供方认为需要的其他费用等。</w:t>
      </w: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01A0A71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0B18B"/>
    <w:multiLevelType w:val="singleLevel"/>
    <w:tmpl w:val="E770B1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D4222"/>
    <w:rsid w:val="17CD4222"/>
    <w:rsid w:val="47E51D22"/>
    <w:rsid w:val="5D5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410</Characters>
  <Lines>0</Lines>
  <Paragraphs>0</Paragraphs>
  <TotalTime>1</TotalTime>
  <ScaleCrop>false</ScaleCrop>
  <LinksUpToDate>false</LinksUpToDate>
  <CharactersWithSpaces>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2025-08-08T02:07:00Z</dcterms:created>
  <dc:creator>烟雨格</dc:creator>
  <cp:lastModifiedBy>烟雨格</cp:lastModifiedBy>
  <dcterms:modified xsi:type="dcterms:W3CDTF">2025-08-18T01:13:41Z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67F51CC8F9424177A3804C1414740E56_13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