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4352A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启东市城市水处理有限公司南阳镇水处理厂出水总管改造工程</w:t>
      </w:r>
      <w:r>
        <w:rPr>
          <w:rFonts w:hint="eastAsia"/>
          <w:b/>
          <w:bCs/>
          <w:sz w:val="32"/>
          <w:szCs w:val="32"/>
          <w:lang w:val="en-US" w:eastAsia="zh-CN"/>
        </w:rPr>
        <w:t>市场询价表</w:t>
      </w:r>
    </w:p>
    <w:bookmarkEnd w:id="0"/>
    <w:tbl>
      <w:tblPr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03"/>
        <w:gridCol w:w="3158"/>
        <w:gridCol w:w="655"/>
        <w:gridCol w:w="875"/>
        <w:gridCol w:w="846"/>
        <w:gridCol w:w="847"/>
      </w:tblGrid>
      <w:tr w14:paraId="455C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F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C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1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A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C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D14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651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539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 w14:paraId="6E09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886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管道部分</w:t>
            </w:r>
          </w:p>
        </w:tc>
      </w:tr>
      <w:tr w14:paraId="19C9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9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6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钢管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0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1、材质及规格：螺旋缝埋弧焊接钢管 D325*8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2、防腐要求：钢管及管件内外壁已按照施工要求采用喷砂处理至ISO8501-1:2007中Sa2.5级,防腐材料采用环氧煤沥青漆;外防腐:4遍环氧煤沥青加2遍玻璃纤维布;内防腐:环氧煤沥青漆两底两面,涂层干膜厚度≥450μm。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2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C67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C47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C11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98F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3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0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钢管管件制作、安装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8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1、材质及规格：钢制弯头 DN300*90° 壁厚为8mm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F88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830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B67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AE6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E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钢管管件制作、安装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A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1、材质及规格：钢制弯头 DN300*45° 壁厚为8mm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5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DED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61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AD7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CA0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5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7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钢管管件制作、安装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4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1、材质及规格：钢制大小头 DN300*200 壁厚为8mm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C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0C5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B03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72B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DEE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B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D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新旧管连接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87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115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CA6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7AD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976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4A0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土方工程</w:t>
            </w:r>
          </w:p>
        </w:tc>
      </w:tr>
      <w:tr w14:paraId="00B5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C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8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混凝土支墩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4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1、混凝土强度等级：C30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2、混凝土支墩尺寸：长*宽*高：0.4m*0.2m*0.75m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F4F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92D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8D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1CB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F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垫层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59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0EF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2.97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4FB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A5E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451D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4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6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履带式单斗挖掘机(液压) 斗容量1m3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C5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309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83F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AA0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09F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6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场地整理及围墙处开洞修补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0D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6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902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FC5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D7C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D58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6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6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1、土壤类别：一、二类土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2、挖土深度：4M内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3、备注：围墙内人工挖土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D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F13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A00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841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37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1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9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8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1、填方材料品种：素土回填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2、备注：围墙内人工回填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7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731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524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F6E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14C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7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52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377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E0B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3FA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F1D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4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E18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合计（含税）</w:t>
            </w:r>
          </w:p>
        </w:tc>
        <w:tc>
          <w:tcPr>
            <w:tcW w:w="638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F5EDE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人民币大写：                           小写：</w:t>
            </w:r>
          </w:p>
        </w:tc>
      </w:tr>
    </w:tbl>
    <w:p w14:paraId="42592EEB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1、投标人须具备市政公用工程施工总承包叁级及以上企业资质，拟派项目负责人须具备市政公用工程专业二级及以上注册建造师。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2、本项目价格为项目包干总价，包含但不限于人工费、安全文明施工费、规费、税费等一切费用。如对工程量清单有疑问的，在投标过程中提出。</w:t>
      </w:r>
    </w:p>
    <w:p w14:paraId="7E5E119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CCD93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A78E4D2">
      <w:pPr>
        <w:tabs>
          <w:tab w:val="left" w:pos="292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A01C7"/>
    <w:rsid w:val="332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2025-03-05T06:34:00Z</dcterms:created>
  <dc:creator>沈峥嵘</dc:creator>
  <cp:lastModifiedBy>沈峥嵘</cp:lastModifiedBy>
  <dcterms:modified xsi:type="dcterms:W3CDTF">2025-03-05T07:02:49Z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E9358E7CFEA847BE93C5AA97D408DA4E_11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