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35779">
      <w:pPr>
        <w:spacing w:line="360" w:lineRule="auto"/>
        <w:ind w:firstLine="883"/>
        <w:rPr>
          <w:rFonts w:ascii="宋体" w:hAnsi="宋体" w:cs="宋体"/>
          <w:b/>
          <w:sz w:val="44"/>
          <w:szCs w:val="44"/>
        </w:rPr>
      </w:pPr>
      <w:r>
        <w:rPr>
          <w:rFonts w:hint="eastAsia" w:ascii="宋体" w:hAnsi="宋体" w:cs="宋体"/>
          <w:b/>
          <w:sz w:val="44"/>
          <w:szCs w:val="44"/>
        </w:rPr>
        <w:t xml:space="preserve">             </w:t>
      </w:r>
    </w:p>
    <w:p w14:paraId="5F8BB9ED">
      <w:pPr>
        <w:spacing w:line="360" w:lineRule="auto"/>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启东市吕四污水处理厂窨井式氯离子监控终端采购项目</w:t>
      </w:r>
    </w:p>
    <w:p w14:paraId="702CD3C3">
      <w:pPr>
        <w:ind w:firstLine="2008"/>
        <w:rPr>
          <w:rFonts w:ascii="宋体" w:hAnsi="宋体" w:cs="宋体"/>
          <w:b/>
          <w:sz w:val="100"/>
          <w:szCs w:val="100"/>
        </w:rPr>
      </w:pPr>
    </w:p>
    <w:p w14:paraId="16EA1006">
      <w:pPr>
        <w:ind w:firstLine="2008"/>
        <w:jc w:val="center"/>
        <w:rPr>
          <w:rFonts w:ascii="宋体" w:hAnsi="宋体" w:cs="宋体"/>
          <w:b/>
          <w:sz w:val="100"/>
          <w:szCs w:val="100"/>
        </w:rPr>
      </w:pPr>
    </w:p>
    <w:p w14:paraId="4089F84F">
      <w:pPr>
        <w:ind w:firstLine="1506" w:firstLineChars="150"/>
        <w:rPr>
          <w:rFonts w:ascii="仿宋" w:hAnsi="仿宋" w:eastAsia="仿宋" w:cs="仿宋"/>
          <w:b/>
          <w:sz w:val="100"/>
          <w:szCs w:val="100"/>
        </w:rPr>
      </w:pPr>
      <w:r>
        <w:rPr>
          <w:rFonts w:hint="eastAsia" w:ascii="仿宋" w:hAnsi="仿宋" w:eastAsia="仿宋" w:cs="仿宋"/>
          <w:b/>
          <w:sz w:val="100"/>
          <w:szCs w:val="100"/>
        </w:rPr>
        <w:t>采购询价文件</w:t>
      </w:r>
    </w:p>
    <w:p w14:paraId="3129F011">
      <w:pPr>
        <w:keepNext/>
        <w:spacing w:line="500" w:lineRule="exact"/>
        <w:ind w:firstLine="883"/>
        <w:jc w:val="center"/>
        <w:outlineLvl w:val="5"/>
        <w:rPr>
          <w:rFonts w:ascii="宋体" w:hAnsi="宋体" w:cs="宋体"/>
          <w:b/>
          <w:kern w:val="0"/>
          <w:sz w:val="44"/>
          <w:szCs w:val="20"/>
        </w:rPr>
      </w:pPr>
    </w:p>
    <w:p w14:paraId="0CC30FC9">
      <w:pPr>
        <w:keepNext/>
        <w:spacing w:line="500" w:lineRule="exact"/>
        <w:ind w:firstLine="883"/>
        <w:jc w:val="center"/>
        <w:outlineLvl w:val="5"/>
        <w:rPr>
          <w:rFonts w:ascii="宋体" w:hAnsi="宋体" w:cs="宋体"/>
          <w:b/>
          <w:kern w:val="0"/>
          <w:sz w:val="44"/>
          <w:szCs w:val="20"/>
        </w:rPr>
      </w:pPr>
    </w:p>
    <w:p w14:paraId="45ED3398">
      <w:pPr>
        <w:keepNext/>
        <w:spacing w:line="500" w:lineRule="exact"/>
        <w:ind w:firstLine="723"/>
        <w:jc w:val="center"/>
        <w:outlineLvl w:val="5"/>
        <w:rPr>
          <w:rFonts w:ascii="宋体" w:hAnsi="宋体" w:cs="宋体"/>
          <w:b/>
          <w:kern w:val="0"/>
          <w:sz w:val="36"/>
          <w:szCs w:val="36"/>
        </w:rPr>
      </w:pPr>
    </w:p>
    <w:p w14:paraId="1B53B0D6">
      <w:pPr>
        <w:spacing w:line="500" w:lineRule="exact"/>
        <w:ind w:firstLine="420"/>
        <w:rPr>
          <w:rFonts w:ascii="宋体" w:hAnsi="宋体" w:cs="宋体"/>
        </w:rPr>
      </w:pPr>
    </w:p>
    <w:p w14:paraId="13458204">
      <w:pPr>
        <w:spacing w:line="500" w:lineRule="exact"/>
        <w:ind w:firstLine="640"/>
        <w:rPr>
          <w:rFonts w:ascii="宋体" w:hAnsi="宋体" w:cs="宋体"/>
          <w:sz w:val="32"/>
        </w:rPr>
      </w:pPr>
    </w:p>
    <w:p w14:paraId="3D1EF418">
      <w:pPr>
        <w:spacing w:line="500" w:lineRule="exact"/>
        <w:ind w:firstLine="640"/>
        <w:rPr>
          <w:rFonts w:ascii="宋体" w:hAnsi="宋体" w:cs="宋体"/>
          <w:sz w:val="32"/>
        </w:rPr>
      </w:pPr>
    </w:p>
    <w:p w14:paraId="64930A64">
      <w:pPr>
        <w:spacing w:line="500" w:lineRule="exact"/>
        <w:ind w:firstLine="640"/>
        <w:jc w:val="center"/>
        <w:rPr>
          <w:rFonts w:ascii="宋体" w:hAnsi="宋体" w:cs="宋体"/>
          <w:sz w:val="32"/>
        </w:rPr>
      </w:pPr>
    </w:p>
    <w:p w14:paraId="4A140578">
      <w:pPr>
        <w:spacing w:line="312" w:lineRule="auto"/>
        <w:ind w:firstLine="723"/>
        <w:jc w:val="center"/>
        <w:rPr>
          <w:rFonts w:ascii="仿宋" w:hAnsi="仿宋" w:eastAsia="仿宋" w:cs="仿宋"/>
          <w:b/>
          <w:sz w:val="36"/>
          <w:szCs w:val="36"/>
        </w:rPr>
      </w:pPr>
      <w:r>
        <w:rPr>
          <w:rFonts w:hint="eastAsia" w:ascii="仿宋" w:hAnsi="仿宋" w:eastAsia="仿宋" w:cs="仿宋"/>
          <w:b/>
          <w:sz w:val="36"/>
          <w:szCs w:val="36"/>
        </w:rPr>
        <w:t>启东市城市水处理有限公司</w:t>
      </w:r>
    </w:p>
    <w:p w14:paraId="792F9104">
      <w:pPr>
        <w:adjustRightInd w:val="0"/>
        <w:spacing w:before="120" w:after="120" w:line="500" w:lineRule="exact"/>
        <w:ind w:left="-2" w:right="120" w:firstLine="643"/>
        <w:jc w:val="center"/>
        <w:textAlignment w:val="baseline"/>
        <w:rPr>
          <w:rFonts w:ascii="仿宋" w:hAnsi="仿宋" w:eastAsia="仿宋" w:cs="仿宋"/>
          <w:b/>
          <w:bCs/>
          <w:kern w:val="0"/>
          <w:sz w:val="32"/>
        </w:rPr>
      </w:pPr>
      <w:r>
        <w:rPr>
          <w:rFonts w:hint="eastAsia" w:ascii="仿宋" w:hAnsi="仿宋" w:eastAsia="仿宋" w:cs="仿宋"/>
          <w:b/>
          <w:bCs/>
          <w:kern w:val="0"/>
          <w:sz w:val="32"/>
          <w:u w:val="single"/>
        </w:rPr>
        <w:t xml:space="preserve">  2024  </w:t>
      </w:r>
      <w:r>
        <w:rPr>
          <w:rFonts w:hint="eastAsia" w:ascii="仿宋" w:hAnsi="仿宋" w:eastAsia="仿宋" w:cs="仿宋"/>
          <w:b/>
          <w:bCs/>
          <w:kern w:val="0"/>
          <w:sz w:val="32"/>
        </w:rPr>
        <w:t>年</w:t>
      </w:r>
      <w:r>
        <w:rPr>
          <w:rFonts w:hint="eastAsia" w:ascii="仿宋" w:hAnsi="仿宋" w:eastAsia="仿宋" w:cs="仿宋"/>
          <w:b/>
          <w:bCs/>
          <w:kern w:val="0"/>
          <w:sz w:val="32"/>
          <w:u w:val="single"/>
        </w:rPr>
        <w:t xml:space="preserve">  </w:t>
      </w:r>
      <w:r>
        <w:rPr>
          <w:rFonts w:hint="eastAsia" w:ascii="仿宋" w:hAnsi="仿宋" w:eastAsia="仿宋" w:cs="仿宋"/>
          <w:b/>
          <w:bCs/>
          <w:kern w:val="0"/>
          <w:sz w:val="32"/>
          <w:u w:val="single"/>
          <w:lang w:val="en-US" w:eastAsia="zh-CN"/>
        </w:rPr>
        <w:t>12</w:t>
      </w:r>
      <w:r>
        <w:rPr>
          <w:rFonts w:hint="eastAsia" w:ascii="仿宋" w:hAnsi="仿宋" w:eastAsia="仿宋" w:cs="仿宋"/>
          <w:b/>
          <w:bCs/>
          <w:kern w:val="0"/>
          <w:sz w:val="32"/>
          <w:u w:val="single"/>
        </w:rPr>
        <w:t xml:space="preserve"> </w:t>
      </w:r>
      <w:r>
        <w:rPr>
          <w:rFonts w:hint="eastAsia" w:ascii="仿宋" w:hAnsi="仿宋" w:eastAsia="仿宋" w:cs="仿宋"/>
          <w:b/>
          <w:bCs/>
          <w:kern w:val="0"/>
          <w:sz w:val="32"/>
        </w:rPr>
        <w:t>月</w:t>
      </w:r>
      <w:r>
        <w:rPr>
          <w:rFonts w:hint="eastAsia" w:ascii="仿宋" w:hAnsi="仿宋" w:eastAsia="仿宋" w:cs="仿宋"/>
          <w:b/>
          <w:bCs/>
          <w:kern w:val="0"/>
          <w:sz w:val="32"/>
          <w:u w:val="single"/>
        </w:rPr>
        <w:t xml:space="preserve">  </w:t>
      </w:r>
      <w:r>
        <w:rPr>
          <w:rFonts w:hint="eastAsia" w:ascii="仿宋" w:hAnsi="仿宋" w:eastAsia="仿宋" w:cs="仿宋"/>
          <w:b/>
          <w:bCs/>
          <w:kern w:val="0"/>
          <w:sz w:val="32"/>
          <w:u w:val="single"/>
          <w:lang w:val="en-US" w:eastAsia="zh-CN"/>
        </w:rPr>
        <w:t>2</w:t>
      </w:r>
      <w:r>
        <w:rPr>
          <w:rFonts w:hint="eastAsia" w:ascii="仿宋" w:hAnsi="仿宋" w:eastAsia="仿宋" w:cs="仿宋"/>
          <w:b/>
          <w:bCs/>
          <w:kern w:val="0"/>
          <w:sz w:val="32"/>
          <w:u w:val="single"/>
        </w:rPr>
        <w:t xml:space="preserve"> </w:t>
      </w:r>
      <w:r>
        <w:rPr>
          <w:rFonts w:hint="eastAsia" w:ascii="仿宋" w:hAnsi="仿宋" w:eastAsia="仿宋" w:cs="仿宋"/>
          <w:b/>
          <w:bCs/>
          <w:kern w:val="0"/>
          <w:sz w:val="32"/>
        </w:rPr>
        <w:t>日</w:t>
      </w:r>
    </w:p>
    <w:p w14:paraId="55A22A54">
      <w:pPr>
        <w:adjustRightInd w:val="0"/>
        <w:snapToGrid w:val="0"/>
        <w:spacing w:line="500" w:lineRule="exact"/>
        <w:ind w:firstLine="522"/>
        <w:rPr>
          <w:rFonts w:ascii="仿宋" w:hAnsi="仿宋" w:eastAsia="仿宋" w:cs="仿宋"/>
          <w:b/>
          <w:snapToGrid w:val="0"/>
          <w:sz w:val="26"/>
          <w:szCs w:val="28"/>
          <w:u w:val="single"/>
        </w:rPr>
      </w:pPr>
    </w:p>
    <w:p w14:paraId="3AFC7206">
      <w:pPr>
        <w:adjustRightInd w:val="0"/>
        <w:snapToGrid w:val="0"/>
        <w:spacing w:line="500" w:lineRule="exact"/>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地址:启东市经济开发区海洪路666号</w:t>
      </w:r>
    </w:p>
    <w:p w14:paraId="450CC218">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邮政编码：226200</w:t>
      </w:r>
    </w:p>
    <w:p w14:paraId="46A384C4">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网址：启东市城市水处理有限公司网站</w:t>
      </w:r>
    </w:p>
    <w:p w14:paraId="0DF3A23A">
      <w:pPr>
        <w:autoSpaceDE w:val="0"/>
        <w:autoSpaceDN w:val="0"/>
        <w:adjustRightInd w:val="0"/>
        <w:snapToGrid w:val="0"/>
        <w:spacing w:line="360" w:lineRule="auto"/>
        <w:ind w:firstLine="908"/>
        <w:jc w:val="center"/>
        <w:outlineLvl w:val="0"/>
        <w:rPr>
          <w:rFonts w:ascii="宋体" w:hAnsi="宋体" w:cs="宋体"/>
          <w:bCs/>
          <w:spacing w:val="7"/>
          <w:kern w:val="0"/>
          <w:sz w:val="44"/>
          <w:szCs w:val="44"/>
        </w:rPr>
      </w:pPr>
    </w:p>
    <w:p w14:paraId="70E71781">
      <w:pPr>
        <w:autoSpaceDE w:val="0"/>
        <w:autoSpaceDN w:val="0"/>
        <w:adjustRightInd w:val="0"/>
        <w:snapToGrid w:val="0"/>
        <w:spacing w:line="360" w:lineRule="auto"/>
        <w:ind w:firstLine="908"/>
        <w:jc w:val="center"/>
        <w:outlineLvl w:val="0"/>
        <w:rPr>
          <w:rFonts w:ascii="仿宋" w:hAnsi="仿宋" w:eastAsia="仿宋" w:cs="仿宋"/>
          <w:bCs/>
          <w:spacing w:val="7"/>
          <w:kern w:val="0"/>
          <w:sz w:val="44"/>
          <w:szCs w:val="44"/>
        </w:rPr>
      </w:pPr>
      <w:r>
        <w:rPr>
          <w:rFonts w:hint="eastAsia" w:ascii="仿宋" w:hAnsi="仿宋" w:eastAsia="仿宋" w:cs="仿宋"/>
          <w:bCs/>
          <w:spacing w:val="7"/>
          <w:kern w:val="0"/>
          <w:sz w:val="44"/>
          <w:szCs w:val="44"/>
        </w:rPr>
        <w:t>目录</w:t>
      </w:r>
    </w:p>
    <w:p w14:paraId="093BC243">
      <w:pPr>
        <w:autoSpaceDE w:val="0"/>
        <w:autoSpaceDN w:val="0"/>
        <w:adjustRightInd w:val="0"/>
        <w:snapToGrid w:val="0"/>
        <w:spacing w:line="360" w:lineRule="auto"/>
        <w:ind w:firstLine="588"/>
        <w:rPr>
          <w:rFonts w:ascii="仿宋" w:hAnsi="仿宋" w:eastAsia="仿宋" w:cs="仿宋"/>
          <w:bCs/>
          <w:spacing w:val="7"/>
          <w:kern w:val="0"/>
          <w:sz w:val="28"/>
          <w:szCs w:val="28"/>
        </w:rPr>
      </w:pPr>
    </w:p>
    <w:p w14:paraId="11409B8D">
      <w:pPr>
        <w:pStyle w:val="2"/>
        <w:adjustRightInd w:val="0"/>
        <w:snapToGrid w:val="0"/>
        <w:spacing w:after="0" w:line="360" w:lineRule="auto"/>
        <w:ind w:firstLine="420"/>
        <w:rPr>
          <w:rFonts w:ascii="仿宋" w:hAnsi="仿宋" w:eastAsia="仿宋" w:cs="仿宋"/>
        </w:rPr>
      </w:pPr>
    </w:p>
    <w:p w14:paraId="5E7E82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第一部分  询价采购公告</w:t>
      </w:r>
    </w:p>
    <w:p w14:paraId="5A4E20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第二部分  响应须知</w:t>
      </w:r>
    </w:p>
    <w:p w14:paraId="5C676E9A">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第三部分  项目需求</w:t>
      </w:r>
    </w:p>
    <w:p w14:paraId="668AADAF">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第四部分  响应文件组成</w:t>
      </w:r>
    </w:p>
    <w:p w14:paraId="1FFDFE41">
      <w:pPr>
        <w:adjustRightInd w:val="0"/>
        <w:snapToGrid w:val="0"/>
        <w:spacing w:line="500" w:lineRule="exact"/>
        <w:ind w:firstLine="588"/>
        <w:jc w:val="center"/>
        <w:rPr>
          <w:rFonts w:ascii="仿宋" w:hAnsi="仿宋" w:eastAsia="仿宋" w:cs="仿宋"/>
          <w:sz w:val="36"/>
          <w:szCs w:val="36"/>
        </w:rPr>
      </w:pPr>
      <w:r>
        <w:rPr>
          <w:rFonts w:hint="eastAsia" w:ascii="宋体" w:hAnsi="宋体" w:cs="宋体"/>
          <w:spacing w:val="7"/>
          <w:kern w:val="0"/>
          <w:sz w:val="28"/>
          <w:szCs w:val="28"/>
        </w:rPr>
        <w:br w:type="page"/>
      </w:r>
      <w:bookmarkStart w:id="0" w:name="_Toc82505651"/>
      <w:bookmarkStart w:id="1" w:name="_Toc3520"/>
      <w:bookmarkStart w:id="2" w:name="OLE_LINK1"/>
      <w:r>
        <w:rPr>
          <w:rFonts w:hint="eastAsia" w:ascii="仿宋" w:hAnsi="仿宋" w:eastAsia="仿宋" w:cs="仿宋"/>
          <w:sz w:val="36"/>
          <w:szCs w:val="36"/>
        </w:rPr>
        <w:t>第一部分  询价采购公告</w:t>
      </w:r>
      <w:bookmarkEnd w:id="0"/>
      <w:bookmarkEnd w:id="1"/>
    </w:p>
    <w:p w14:paraId="16D0FE66">
      <w:pPr>
        <w:pStyle w:val="15"/>
        <w:spacing w:before="0" w:beforeAutospacing="0" w:after="0" w:afterAutospacing="0"/>
        <w:ind w:firstLine="560" w:firstLineChars="200"/>
        <w:rPr>
          <w:rFonts w:hint="default" w:ascii="仿宋" w:hAnsi="仿宋" w:eastAsia="仿宋" w:cs="仿宋"/>
          <w:sz w:val="28"/>
          <w:szCs w:val="28"/>
        </w:rPr>
      </w:pPr>
      <w:bookmarkStart w:id="3" w:name="OLE_LINK5"/>
      <w:bookmarkStart w:id="4" w:name="OLE_LINK6"/>
      <w:bookmarkStart w:id="5" w:name="OLE_LINK2"/>
      <w:bookmarkStart w:id="6" w:name="OLE_LINK3"/>
      <w:r>
        <w:rPr>
          <w:rFonts w:ascii="仿宋" w:hAnsi="仿宋" w:eastAsia="仿宋" w:cs="仿宋"/>
          <w:sz w:val="28"/>
          <w:szCs w:val="28"/>
        </w:rPr>
        <w:t>启东市城市水处理有限公司就[</w:t>
      </w:r>
      <w:r>
        <w:rPr>
          <w:rFonts w:hint="eastAsia" w:ascii="仿宋" w:hAnsi="仿宋" w:eastAsia="仿宋" w:cs="仿宋"/>
          <w:sz w:val="28"/>
          <w:szCs w:val="28"/>
          <w:highlight w:val="none"/>
          <w:lang w:val="en-US" w:eastAsia="zh-CN"/>
        </w:rPr>
        <w:t>启东市吕四污水处理厂窨井式氯离子监控终端采购项目</w:t>
      </w:r>
      <w:r>
        <w:rPr>
          <w:rFonts w:ascii="仿宋" w:hAnsi="仿宋" w:eastAsia="仿宋" w:cs="仿宋"/>
          <w:sz w:val="28"/>
          <w:szCs w:val="28"/>
        </w:rPr>
        <w:t>]进行询价采购，欢迎符合条件的供应商响应。</w:t>
      </w:r>
    </w:p>
    <w:p w14:paraId="5F8211AA">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21F1E01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highlight w:val="none"/>
          <w:lang w:val="en-US" w:eastAsia="zh-CN"/>
        </w:rPr>
        <w:t>启东市吕四污水处理厂窨井式氯离子监控终端采购项目</w:t>
      </w:r>
      <w:r>
        <w:rPr>
          <w:rFonts w:hint="eastAsia" w:ascii="仿宋" w:hAnsi="仿宋" w:eastAsia="仿宋" w:cs="仿宋"/>
          <w:sz w:val="28"/>
          <w:szCs w:val="28"/>
        </w:rPr>
        <w:t>]的潜在响应供应商应在启东市城市水处理有限公司网站获取采购文件，并于</w:t>
      </w:r>
      <w:r>
        <w:rPr>
          <w:rFonts w:hint="eastAsia" w:ascii="仿宋" w:hAnsi="仿宋" w:eastAsia="仿宋" w:cs="仿宋"/>
          <w:sz w:val="28"/>
          <w:szCs w:val="28"/>
          <w:highlight w:val="yellow"/>
        </w:rPr>
        <w:t>2024年</w:t>
      </w:r>
      <w:r>
        <w:rPr>
          <w:rFonts w:hint="eastAsia" w:ascii="仿宋" w:hAnsi="仿宋" w:eastAsia="仿宋" w:cs="仿宋"/>
          <w:sz w:val="28"/>
          <w:szCs w:val="28"/>
          <w:highlight w:val="yellow"/>
          <w:lang w:val="en-US" w:eastAsia="zh-CN"/>
        </w:rPr>
        <w:t xml:space="preserve"> 12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 6 </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 xml:space="preserve"> 9 </w:t>
      </w:r>
      <w:r>
        <w:rPr>
          <w:rFonts w:hint="eastAsia" w:ascii="仿宋" w:hAnsi="仿宋" w:eastAsia="仿宋" w:cs="仿宋"/>
          <w:sz w:val="28"/>
          <w:szCs w:val="28"/>
          <w:highlight w:val="yellow"/>
        </w:rPr>
        <w:t>点</w:t>
      </w:r>
      <w:r>
        <w:rPr>
          <w:rFonts w:hint="eastAsia" w:ascii="仿宋" w:hAnsi="仿宋" w:eastAsia="仿宋" w:cs="仿宋"/>
          <w:sz w:val="28"/>
          <w:szCs w:val="28"/>
          <w:highlight w:val="yellow"/>
          <w:lang w:val="en-US" w:eastAsia="zh-CN"/>
        </w:rPr>
        <w:t xml:space="preserve"> 00 </w:t>
      </w:r>
      <w:r>
        <w:rPr>
          <w:rFonts w:hint="eastAsia" w:ascii="仿宋" w:hAnsi="仿宋" w:eastAsia="仿宋" w:cs="仿宋"/>
          <w:sz w:val="28"/>
          <w:szCs w:val="28"/>
          <w:highlight w:val="yellow"/>
        </w:rPr>
        <w:t>分</w:t>
      </w:r>
      <w:r>
        <w:rPr>
          <w:rFonts w:hint="eastAsia" w:ascii="仿宋" w:hAnsi="仿宋" w:eastAsia="仿宋" w:cs="仿宋"/>
          <w:sz w:val="28"/>
          <w:szCs w:val="28"/>
        </w:rPr>
        <w:t>（北京时间）前递交响应文件。</w:t>
      </w:r>
    </w:p>
    <w:p w14:paraId="33F36019">
      <w:pPr>
        <w:adjustRightInd w:val="0"/>
        <w:snapToGrid w:val="0"/>
        <w:spacing w:line="500" w:lineRule="exact"/>
        <w:ind w:firstLine="562" w:firstLineChars="200"/>
        <w:rPr>
          <w:rFonts w:ascii="仿宋" w:hAnsi="仿宋" w:eastAsia="仿宋" w:cs="仿宋"/>
          <w:b/>
          <w:bCs/>
          <w:sz w:val="28"/>
          <w:szCs w:val="28"/>
        </w:rPr>
      </w:pPr>
      <w:bookmarkStart w:id="7" w:name="_Toc82505652"/>
      <w:r>
        <w:rPr>
          <w:rFonts w:hint="eastAsia" w:ascii="仿宋" w:hAnsi="仿宋" w:eastAsia="仿宋" w:cs="仿宋"/>
          <w:b/>
          <w:bCs/>
          <w:sz w:val="28"/>
          <w:szCs w:val="28"/>
        </w:rPr>
        <w:t>一、项目基本情况</w:t>
      </w:r>
      <w:bookmarkEnd w:id="7"/>
    </w:p>
    <w:p w14:paraId="3E2EDC36">
      <w:pPr>
        <w:pStyle w:val="15"/>
        <w:spacing w:before="0" w:beforeAutospacing="0" w:after="0" w:afterAutospacing="0"/>
        <w:ind w:firstLine="560" w:firstLineChars="200"/>
        <w:rPr>
          <w:rFonts w:hint="default" w:ascii="仿宋" w:hAnsi="仿宋" w:eastAsia="仿宋" w:cs="仿宋"/>
          <w:kern w:val="2"/>
          <w:sz w:val="28"/>
          <w:szCs w:val="28"/>
        </w:rPr>
      </w:pPr>
      <w:r>
        <w:rPr>
          <w:rFonts w:ascii="仿宋" w:hAnsi="仿宋" w:eastAsia="仿宋" w:cs="仿宋"/>
          <w:sz w:val="28"/>
          <w:szCs w:val="28"/>
        </w:rPr>
        <w:t>项目名称：</w:t>
      </w:r>
      <w:r>
        <w:rPr>
          <w:rFonts w:hint="eastAsia" w:ascii="仿宋" w:hAnsi="仿宋" w:eastAsia="仿宋" w:cs="仿宋"/>
          <w:sz w:val="28"/>
          <w:szCs w:val="28"/>
          <w:highlight w:val="none"/>
          <w:lang w:val="en-US" w:eastAsia="zh-CN"/>
        </w:rPr>
        <w:t>启东市吕四污水处理厂窨井式氯离子监控终端采购项目</w:t>
      </w:r>
    </w:p>
    <w:p w14:paraId="61710FC0">
      <w:pPr>
        <w:adjustRightInd w:val="0"/>
        <w:snapToGrid w:val="0"/>
        <w:spacing w:line="500" w:lineRule="exact"/>
        <w:ind w:firstLine="560" w:firstLineChars="200"/>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预算金额：15.45万元。</w:t>
      </w:r>
    </w:p>
    <w:p w14:paraId="2F057ECC">
      <w:pPr>
        <w:tabs>
          <w:tab w:val="left" w:pos="6860"/>
          <w:tab w:val="left" w:pos="7140"/>
        </w:tabs>
        <w:spacing w:line="500" w:lineRule="exact"/>
        <w:ind w:firstLine="560" w:firstLineChars="200"/>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最高限价：15.45万元，投标报价超过最高限价的为无效报价。</w:t>
      </w:r>
    </w:p>
    <w:p w14:paraId="698C5B6E">
      <w:pPr>
        <w:adjustRightInd w:val="0"/>
        <w:snapToGrid w:val="0"/>
        <w:spacing w:line="500" w:lineRule="exact"/>
        <w:ind w:firstLine="560" w:firstLineChars="200"/>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采购需求：详见采购文件，请仔细研究。</w:t>
      </w:r>
    </w:p>
    <w:p w14:paraId="7E27B8C4">
      <w:pPr>
        <w:adjustRightInd w:val="0"/>
        <w:snapToGrid w:val="0"/>
        <w:spacing w:line="500" w:lineRule="exact"/>
        <w:ind w:firstLine="562" w:firstLineChars="200"/>
        <w:rPr>
          <w:rFonts w:ascii="仿宋" w:hAnsi="仿宋" w:eastAsia="仿宋" w:cs="仿宋"/>
          <w:b/>
          <w:bCs/>
          <w:sz w:val="28"/>
          <w:szCs w:val="28"/>
        </w:rPr>
      </w:pPr>
      <w:bookmarkStart w:id="8" w:name="_Toc82505653"/>
      <w:r>
        <w:rPr>
          <w:rFonts w:hint="eastAsia" w:ascii="仿宋" w:hAnsi="仿宋" w:eastAsia="仿宋" w:cs="仿宋"/>
          <w:b/>
          <w:bCs/>
          <w:sz w:val="28"/>
          <w:szCs w:val="28"/>
        </w:rPr>
        <w:t>二、响应供应商的资格要求：</w:t>
      </w:r>
      <w:bookmarkEnd w:id="8"/>
    </w:p>
    <w:p w14:paraId="30EB7C2C">
      <w:pPr>
        <w:adjustRightInd w:val="0"/>
        <w:snapToGrid w:val="0"/>
        <w:spacing w:line="500" w:lineRule="exact"/>
        <w:ind w:firstLine="560" w:firstLineChars="200"/>
        <w:rPr>
          <w:rFonts w:hint="eastAsia" w:ascii="仿宋" w:hAnsi="仿宋" w:eastAsia="仿宋" w:cs="仿宋"/>
          <w:kern w:val="0"/>
          <w:sz w:val="28"/>
          <w:szCs w:val="28"/>
          <w:highlight w:val="none"/>
          <w:lang w:val="en-US" w:eastAsia="zh-CN" w:bidi="ar-SA"/>
        </w:rPr>
      </w:pPr>
      <w:bookmarkStart w:id="9" w:name="_Toc82505654"/>
      <w:r>
        <w:rPr>
          <w:rFonts w:hint="eastAsia" w:ascii="仿宋" w:hAnsi="仿宋" w:eastAsia="仿宋" w:cs="仿宋"/>
          <w:kern w:val="0"/>
          <w:sz w:val="28"/>
          <w:szCs w:val="28"/>
          <w:highlight w:val="none"/>
          <w:lang w:val="en-US" w:eastAsia="en-US" w:bidi="ar-SA"/>
        </w:rPr>
        <w:t>1</w:t>
      </w:r>
      <w:r>
        <w:rPr>
          <w:rFonts w:hint="eastAsia" w:ascii="仿宋" w:hAnsi="仿宋" w:eastAsia="仿宋" w:cs="仿宋"/>
          <w:kern w:val="0"/>
          <w:sz w:val="28"/>
          <w:szCs w:val="28"/>
          <w:highlight w:val="none"/>
          <w:lang w:val="en-US" w:eastAsia="zh-CN" w:bidi="ar-SA"/>
        </w:rPr>
        <w:t>.</w:t>
      </w:r>
      <w:r>
        <w:rPr>
          <w:rFonts w:hint="eastAsia" w:ascii="仿宋" w:hAnsi="仿宋" w:eastAsia="仿宋" w:cs="仿宋"/>
          <w:kern w:val="0"/>
          <w:sz w:val="28"/>
          <w:szCs w:val="28"/>
          <w:highlight w:val="none"/>
          <w:lang w:val="en-US" w:eastAsia="en-US" w:bidi="ar-SA"/>
        </w:rPr>
        <w:t>符合《中华人民共和国政府采购法》第22条规定</w:t>
      </w:r>
      <w:r>
        <w:rPr>
          <w:rFonts w:hint="eastAsia" w:ascii="仿宋" w:hAnsi="仿宋" w:eastAsia="仿宋" w:cs="仿宋"/>
          <w:kern w:val="0"/>
          <w:sz w:val="28"/>
          <w:szCs w:val="28"/>
          <w:highlight w:val="none"/>
          <w:lang w:val="en-US" w:eastAsia="zh-CN" w:bidi="ar-SA"/>
        </w:rPr>
        <w:t>。</w:t>
      </w:r>
    </w:p>
    <w:p w14:paraId="18CABA3D">
      <w:pPr>
        <w:adjustRightInd w:val="0"/>
        <w:snapToGrid w:val="0"/>
        <w:spacing w:line="500" w:lineRule="exact"/>
        <w:ind w:firstLine="560" w:firstLineChars="200"/>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en-US" w:bidi="ar-SA"/>
        </w:rPr>
        <w:t>2</w:t>
      </w:r>
      <w:r>
        <w:rPr>
          <w:rFonts w:hint="eastAsia" w:ascii="仿宋" w:hAnsi="仿宋" w:eastAsia="仿宋" w:cs="仿宋"/>
          <w:kern w:val="0"/>
          <w:sz w:val="28"/>
          <w:szCs w:val="28"/>
          <w:highlight w:val="none"/>
          <w:lang w:val="en-US" w:eastAsia="zh-CN" w:bidi="ar-SA"/>
        </w:rPr>
        <w:t>.</w:t>
      </w:r>
      <w:r>
        <w:rPr>
          <w:rFonts w:hint="eastAsia" w:ascii="仿宋" w:hAnsi="仿宋" w:eastAsia="仿宋" w:cs="仿宋"/>
          <w:kern w:val="0"/>
          <w:sz w:val="28"/>
          <w:szCs w:val="28"/>
          <w:highlight w:val="none"/>
          <w:lang w:val="en-US" w:eastAsia="en-US" w:bidi="ar-SA"/>
        </w:rPr>
        <w:t>投标人</w:t>
      </w:r>
      <w:r>
        <w:rPr>
          <w:rFonts w:hint="eastAsia" w:ascii="仿宋" w:hAnsi="仿宋" w:eastAsia="仿宋" w:cs="仿宋"/>
          <w:kern w:val="0"/>
          <w:sz w:val="28"/>
          <w:szCs w:val="28"/>
          <w:highlight w:val="none"/>
          <w:lang w:val="en-US" w:eastAsia="zh-CN" w:bidi="ar-SA"/>
        </w:rPr>
        <w:t>需</w:t>
      </w:r>
      <w:r>
        <w:rPr>
          <w:rFonts w:hint="eastAsia" w:ascii="仿宋" w:hAnsi="仿宋" w:eastAsia="仿宋" w:cs="仿宋"/>
          <w:kern w:val="0"/>
          <w:sz w:val="28"/>
          <w:szCs w:val="28"/>
          <w:highlight w:val="none"/>
          <w:lang w:val="en-US" w:eastAsia="en-US" w:bidi="ar-SA"/>
        </w:rPr>
        <w:t>具备</w:t>
      </w:r>
      <w:r>
        <w:rPr>
          <w:rFonts w:hint="eastAsia" w:ascii="仿宋" w:hAnsi="仿宋" w:eastAsia="仿宋" w:cs="仿宋"/>
          <w:kern w:val="0"/>
          <w:sz w:val="28"/>
          <w:szCs w:val="28"/>
          <w:highlight w:val="none"/>
          <w:lang w:val="en-US" w:eastAsia="zh-CN" w:bidi="ar-SA"/>
        </w:rPr>
        <w:t>有效</w:t>
      </w:r>
      <w:r>
        <w:rPr>
          <w:rFonts w:hint="eastAsia" w:ascii="仿宋" w:hAnsi="仿宋" w:eastAsia="仿宋" w:cs="仿宋"/>
          <w:kern w:val="0"/>
          <w:sz w:val="28"/>
          <w:szCs w:val="28"/>
          <w:highlight w:val="none"/>
          <w:lang w:val="en-US" w:eastAsia="en-US" w:bidi="ar-SA"/>
        </w:rPr>
        <w:t>的营业执照</w:t>
      </w:r>
      <w:r>
        <w:rPr>
          <w:rFonts w:hint="eastAsia" w:ascii="仿宋" w:hAnsi="仿宋" w:eastAsia="仿宋" w:cs="仿宋"/>
          <w:kern w:val="0"/>
          <w:sz w:val="28"/>
          <w:szCs w:val="28"/>
          <w:highlight w:val="none"/>
          <w:lang w:val="en-US" w:eastAsia="zh-CN" w:bidi="ar-SA"/>
        </w:rPr>
        <w:t>。</w:t>
      </w:r>
    </w:p>
    <w:p w14:paraId="3AD4C54D">
      <w:pPr>
        <w:adjustRightInd w:val="0"/>
        <w:snapToGrid w:val="0"/>
        <w:spacing w:line="500" w:lineRule="exact"/>
        <w:ind w:firstLine="560" w:firstLineChars="200"/>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en-US" w:bidi="ar-SA"/>
        </w:rPr>
        <w:t>3</w:t>
      </w:r>
      <w:r>
        <w:rPr>
          <w:rFonts w:hint="eastAsia" w:ascii="仿宋" w:hAnsi="仿宋" w:eastAsia="仿宋" w:cs="仿宋"/>
          <w:kern w:val="0"/>
          <w:sz w:val="28"/>
          <w:szCs w:val="28"/>
          <w:highlight w:val="none"/>
          <w:lang w:val="en-US" w:eastAsia="zh-CN" w:bidi="ar-SA"/>
        </w:rPr>
        <w:t>.</w:t>
      </w:r>
      <w:r>
        <w:rPr>
          <w:rFonts w:hint="eastAsia" w:ascii="仿宋" w:hAnsi="仿宋" w:eastAsia="仿宋" w:cs="仿宋"/>
          <w:kern w:val="0"/>
          <w:sz w:val="28"/>
          <w:szCs w:val="28"/>
          <w:highlight w:val="none"/>
          <w:lang w:val="en-US" w:eastAsia="en-US" w:bidi="ar-SA"/>
        </w:rPr>
        <w:t>本项目不接受联合体投标</w:t>
      </w:r>
      <w:r>
        <w:rPr>
          <w:rFonts w:hint="eastAsia" w:ascii="仿宋" w:hAnsi="仿宋" w:eastAsia="仿宋" w:cs="仿宋"/>
          <w:kern w:val="0"/>
          <w:sz w:val="28"/>
          <w:szCs w:val="28"/>
          <w:highlight w:val="none"/>
          <w:lang w:val="en-US" w:eastAsia="zh-CN" w:bidi="ar-SA"/>
        </w:rPr>
        <w:t>。</w:t>
      </w:r>
    </w:p>
    <w:p w14:paraId="536C3A64">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三、获取采购文件</w:t>
      </w:r>
      <w:bookmarkEnd w:id="9"/>
    </w:p>
    <w:p w14:paraId="4C4B1978">
      <w:pPr>
        <w:adjustRightInd w:val="0"/>
        <w:snapToGrid w:val="0"/>
        <w:spacing w:line="50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时间：</w:t>
      </w:r>
      <w:r>
        <w:rPr>
          <w:rFonts w:hint="eastAsia" w:ascii="仿宋" w:hAnsi="仿宋" w:eastAsia="仿宋" w:cs="仿宋"/>
          <w:sz w:val="28"/>
          <w:szCs w:val="28"/>
          <w:highlight w:val="yellow"/>
        </w:rPr>
        <w:t>2024年</w:t>
      </w:r>
      <w:r>
        <w:rPr>
          <w:rFonts w:hint="eastAsia" w:ascii="仿宋" w:hAnsi="仿宋" w:eastAsia="仿宋" w:cs="仿宋"/>
          <w:sz w:val="28"/>
          <w:szCs w:val="28"/>
          <w:highlight w:val="yellow"/>
          <w:lang w:val="en-US" w:eastAsia="zh-CN"/>
        </w:rPr>
        <w:t xml:space="preserve"> 12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 2 </w:t>
      </w:r>
      <w:r>
        <w:rPr>
          <w:rFonts w:hint="eastAsia" w:ascii="仿宋" w:hAnsi="仿宋" w:eastAsia="仿宋" w:cs="仿宋"/>
          <w:sz w:val="28"/>
          <w:szCs w:val="28"/>
          <w:highlight w:val="yellow"/>
        </w:rPr>
        <w:t>日至2024年</w:t>
      </w:r>
      <w:r>
        <w:rPr>
          <w:rFonts w:hint="eastAsia" w:ascii="仿宋" w:hAnsi="仿宋" w:eastAsia="仿宋" w:cs="仿宋"/>
          <w:sz w:val="28"/>
          <w:szCs w:val="28"/>
          <w:highlight w:val="yellow"/>
          <w:lang w:val="en-US" w:eastAsia="zh-CN"/>
        </w:rPr>
        <w:t xml:space="preserve"> 12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 6  </w:t>
      </w:r>
      <w:r>
        <w:rPr>
          <w:rFonts w:hint="eastAsia" w:ascii="仿宋" w:hAnsi="仿宋" w:eastAsia="仿宋" w:cs="仿宋"/>
          <w:sz w:val="28"/>
          <w:szCs w:val="28"/>
          <w:highlight w:val="yellow"/>
        </w:rPr>
        <w:t>日</w:t>
      </w:r>
    </w:p>
    <w:p w14:paraId="3A48ED17">
      <w:pPr>
        <w:adjustRightInd w:val="0"/>
        <w:snapToGrid w:val="0"/>
        <w:spacing w:line="500" w:lineRule="exact"/>
        <w:ind w:firstLine="560" w:firstLineChars="200"/>
        <w:rPr>
          <w:rFonts w:hint="eastAsia" w:ascii="仿宋" w:hAnsi="仿宋" w:eastAsia="仿宋" w:cs="仿宋"/>
          <w:kern w:val="0"/>
          <w:sz w:val="28"/>
          <w:szCs w:val="28"/>
          <w:highlight w:val="none"/>
          <w:lang w:val="en-US" w:eastAsia="en-US" w:bidi="ar-SA"/>
        </w:rPr>
      </w:pPr>
      <w:r>
        <w:rPr>
          <w:rFonts w:hint="eastAsia" w:ascii="仿宋" w:hAnsi="仿宋" w:eastAsia="仿宋" w:cs="仿宋"/>
          <w:kern w:val="0"/>
          <w:sz w:val="28"/>
          <w:szCs w:val="28"/>
          <w:highlight w:val="none"/>
          <w:lang w:val="en-US" w:eastAsia="en-US" w:bidi="ar-SA"/>
        </w:rPr>
        <w:t>获取的地点、方式：供应商登录启东市城市水处理有限公司网站进行下载操作。</w:t>
      </w:r>
    </w:p>
    <w:p w14:paraId="7687B403">
      <w:pPr>
        <w:adjustRightInd w:val="0"/>
        <w:snapToGrid w:val="0"/>
        <w:spacing w:line="360" w:lineRule="auto"/>
        <w:ind w:firstLine="562" w:firstLineChars="200"/>
        <w:rPr>
          <w:rFonts w:ascii="仿宋" w:hAnsi="仿宋" w:eastAsia="仿宋" w:cs="仿宋"/>
          <w:b/>
          <w:bCs/>
          <w:sz w:val="28"/>
          <w:szCs w:val="28"/>
        </w:rPr>
      </w:pPr>
      <w:bookmarkStart w:id="10" w:name="_Toc82505655"/>
      <w:r>
        <w:rPr>
          <w:rFonts w:hint="eastAsia" w:ascii="仿宋" w:hAnsi="仿宋" w:eastAsia="仿宋" w:cs="仿宋"/>
          <w:b/>
          <w:bCs/>
          <w:sz w:val="28"/>
          <w:szCs w:val="28"/>
        </w:rPr>
        <w:t>四、响应文件提交</w:t>
      </w:r>
      <w:bookmarkEnd w:id="10"/>
    </w:p>
    <w:p w14:paraId="41A25181">
      <w:pPr>
        <w:snapToGrid w:val="0"/>
        <w:spacing w:line="360" w:lineRule="auto"/>
        <w:ind w:firstLine="560" w:firstLineChars="200"/>
        <w:rPr>
          <w:rFonts w:ascii="仿宋" w:hAnsi="仿宋" w:eastAsia="仿宋" w:cs="仿宋"/>
          <w:b/>
          <w:sz w:val="28"/>
          <w:szCs w:val="28"/>
          <w:u w:val="single"/>
        </w:rPr>
      </w:pPr>
      <w:bookmarkStart w:id="11" w:name="_Toc82505657"/>
      <w:r>
        <w:rPr>
          <w:rFonts w:hint="eastAsia" w:ascii="仿宋" w:hAnsi="仿宋" w:eastAsia="仿宋" w:cs="仿宋"/>
          <w:sz w:val="28"/>
          <w:szCs w:val="28"/>
        </w:rPr>
        <w:t>报价文件请于</w:t>
      </w:r>
      <w:r>
        <w:rPr>
          <w:rFonts w:hint="eastAsia" w:ascii="仿宋" w:hAnsi="仿宋" w:eastAsia="仿宋" w:cs="仿宋"/>
          <w:b/>
          <w:bCs/>
          <w:sz w:val="28"/>
          <w:szCs w:val="28"/>
          <w:highlight w:val="yellow"/>
          <w:u w:val="single"/>
        </w:rPr>
        <w:t>2024</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12</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6</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 xml:space="preserve">日 </w:t>
      </w:r>
      <w:r>
        <w:rPr>
          <w:rFonts w:hint="eastAsia" w:ascii="仿宋" w:hAnsi="仿宋" w:eastAsia="仿宋" w:cs="仿宋"/>
          <w:b/>
          <w:bCs/>
          <w:sz w:val="28"/>
          <w:szCs w:val="28"/>
          <w:highlight w:val="yellow"/>
          <w:lang w:val="en-US" w:eastAsia="zh-CN"/>
        </w:rPr>
        <w:t>上</w:t>
      </w:r>
      <w:r>
        <w:rPr>
          <w:rFonts w:hint="eastAsia" w:ascii="仿宋" w:hAnsi="仿宋" w:eastAsia="仿宋" w:cs="仿宋"/>
          <w:b/>
          <w:bCs/>
          <w:sz w:val="28"/>
          <w:szCs w:val="28"/>
          <w:highlight w:val="yellow"/>
        </w:rPr>
        <w:t>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9</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00</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rPr>
        <w:t>前</w:t>
      </w:r>
      <w:r>
        <w:rPr>
          <w:rFonts w:hint="eastAsia" w:ascii="仿宋" w:hAnsi="仿宋" w:eastAsia="仿宋" w:cs="仿宋"/>
          <w:b/>
          <w:bCs/>
          <w:sz w:val="28"/>
          <w:szCs w:val="28"/>
        </w:rPr>
        <w:t>送至启东城投集团有限公司(</w:t>
      </w:r>
      <w:r>
        <w:rPr>
          <w:rFonts w:hint="eastAsia" w:ascii="宋体" w:hAnsi="宋体" w:cs="宋体"/>
          <w:b/>
          <w:bCs/>
          <w:sz w:val="28"/>
          <w:szCs w:val="28"/>
        </w:rPr>
        <w:t>启东市汇龙镇金沙江路672号</w:t>
      </w:r>
      <w:r>
        <w:rPr>
          <w:rFonts w:hint="eastAsia" w:ascii="仿宋" w:hAnsi="仿宋" w:eastAsia="仿宋" w:cs="仿宋"/>
          <w:b/>
          <w:bCs/>
          <w:sz w:val="28"/>
          <w:szCs w:val="28"/>
        </w:rPr>
        <w:t>)二楼开标室（只接受直接送达），逾</w:t>
      </w:r>
      <w:r>
        <w:rPr>
          <w:rFonts w:hint="eastAsia" w:ascii="仿宋" w:hAnsi="仿宋" w:eastAsia="仿宋" w:cs="仿宋"/>
          <w:b/>
          <w:sz w:val="28"/>
          <w:szCs w:val="28"/>
        </w:rPr>
        <w:t>时则不予受理。</w:t>
      </w:r>
    </w:p>
    <w:p w14:paraId="7371FE49">
      <w:pPr>
        <w:snapToGrid w:val="0"/>
        <w:spacing w:line="360" w:lineRule="auto"/>
        <w:ind w:firstLine="562" w:firstLineChars="200"/>
        <w:rPr>
          <w:rFonts w:ascii="仿宋" w:hAnsi="仿宋" w:eastAsia="仿宋" w:cs="仿宋"/>
          <w:b/>
          <w:sz w:val="28"/>
          <w:szCs w:val="28"/>
          <w:highlight w:val="yellow"/>
        </w:rPr>
      </w:pPr>
      <w:r>
        <w:rPr>
          <w:rFonts w:hint="eastAsia" w:ascii="仿宋" w:hAnsi="仿宋" w:eastAsia="仿宋" w:cs="仿宋"/>
          <w:b/>
          <w:sz w:val="28"/>
          <w:szCs w:val="28"/>
        </w:rPr>
        <w:t>开标时间：</w:t>
      </w:r>
      <w:r>
        <w:rPr>
          <w:rFonts w:hint="eastAsia" w:ascii="仿宋" w:hAnsi="仿宋" w:eastAsia="仿宋" w:cs="仿宋"/>
          <w:b/>
          <w:bCs/>
          <w:sz w:val="28"/>
          <w:szCs w:val="28"/>
          <w:highlight w:val="yellow"/>
          <w:u w:val="single"/>
        </w:rPr>
        <w:t>2024</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12</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6</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日</w:t>
      </w:r>
      <w:r>
        <w:rPr>
          <w:rFonts w:hint="eastAsia" w:ascii="仿宋" w:hAnsi="仿宋" w:eastAsia="仿宋" w:cs="仿宋"/>
          <w:b/>
          <w:bCs/>
          <w:sz w:val="28"/>
          <w:szCs w:val="28"/>
          <w:highlight w:val="yellow"/>
          <w:lang w:val="en-US" w:eastAsia="zh-CN"/>
        </w:rPr>
        <w:t>上</w:t>
      </w:r>
      <w:r>
        <w:rPr>
          <w:rFonts w:hint="eastAsia" w:ascii="仿宋" w:hAnsi="仿宋" w:eastAsia="仿宋" w:cs="仿宋"/>
          <w:b/>
          <w:bCs/>
          <w:sz w:val="28"/>
          <w:szCs w:val="28"/>
          <w:highlight w:val="yellow"/>
        </w:rPr>
        <w:t>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9</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00</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p>
    <w:p w14:paraId="767C69CA">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五、公告期限</w:t>
      </w:r>
      <w:bookmarkEnd w:id="11"/>
    </w:p>
    <w:p w14:paraId="0255CCC2">
      <w:pPr>
        <w:adjustRightInd w:val="0"/>
        <w:snapToGrid w:val="0"/>
        <w:spacing w:line="500" w:lineRule="exact"/>
        <w:ind w:firstLine="560" w:firstLineChars="200"/>
        <w:rPr>
          <w:rFonts w:hint="eastAsia" w:ascii="仿宋" w:hAnsi="仿宋" w:eastAsia="仿宋" w:cs="仿宋"/>
          <w:kern w:val="0"/>
          <w:sz w:val="28"/>
          <w:szCs w:val="28"/>
          <w:highlight w:val="none"/>
          <w:lang w:val="en-US" w:eastAsia="en-US" w:bidi="ar-SA"/>
        </w:rPr>
      </w:pPr>
      <w:r>
        <w:rPr>
          <w:rFonts w:hint="eastAsia" w:ascii="仿宋" w:hAnsi="仿宋" w:eastAsia="仿宋" w:cs="仿宋"/>
          <w:kern w:val="0"/>
          <w:sz w:val="28"/>
          <w:szCs w:val="28"/>
          <w:highlight w:val="none"/>
          <w:lang w:val="en-US" w:eastAsia="en-US" w:bidi="ar-SA"/>
        </w:rPr>
        <w:t>自本公告发布之日起3个工作日。</w:t>
      </w:r>
    </w:p>
    <w:p w14:paraId="13AB60FA">
      <w:pPr>
        <w:adjustRightInd w:val="0"/>
        <w:snapToGrid w:val="0"/>
        <w:spacing w:line="500" w:lineRule="exact"/>
        <w:ind w:firstLine="562" w:firstLineChars="200"/>
        <w:rPr>
          <w:rFonts w:ascii="仿宋" w:hAnsi="仿宋" w:eastAsia="仿宋" w:cs="仿宋"/>
          <w:b/>
          <w:bCs/>
          <w:sz w:val="28"/>
          <w:szCs w:val="28"/>
        </w:rPr>
      </w:pPr>
      <w:bookmarkStart w:id="12" w:name="_Toc82505658"/>
      <w:r>
        <w:rPr>
          <w:rFonts w:hint="eastAsia" w:ascii="仿宋" w:hAnsi="仿宋" w:eastAsia="仿宋" w:cs="仿宋"/>
          <w:b/>
          <w:bCs/>
          <w:sz w:val="28"/>
          <w:szCs w:val="28"/>
        </w:rPr>
        <w:t>六、其他补充事宜</w:t>
      </w:r>
      <w:bookmarkEnd w:id="12"/>
    </w:p>
    <w:p w14:paraId="2F985C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1.响应保证金：免收。</w:t>
      </w:r>
    </w:p>
    <w:p w14:paraId="1E7FB87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2.项目开标活动模式：见面开标模式。</w:t>
      </w:r>
    </w:p>
    <w:p w14:paraId="79F1DE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3.项目样品：无。</w:t>
      </w:r>
    </w:p>
    <w:p w14:paraId="66B96DF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4.对项目需求部分（供应商资格要求、项目需求）的询问、质疑请向采购人提出，由采购人负责答复；</w:t>
      </w:r>
    </w:p>
    <w:p w14:paraId="075DB408">
      <w:pPr>
        <w:adjustRightInd w:val="0"/>
        <w:snapToGrid w:val="0"/>
        <w:spacing w:line="500" w:lineRule="exact"/>
        <w:ind w:firstLine="562" w:firstLineChars="200"/>
        <w:rPr>
          <w:rFonts w:ascii="仿宋" w:hAnsi="仿宋" w:eastAsia="仿宋" w:cs="仿宋"/>
          <w:b/>
          <w:bCs/>
          <w:sz w:val="28"/>
          <w:szCs w:val="28"/>
        </w:rPr>
      </w:pPr>
      <w:bookmarkStart w:id="13" w:name="_Toc82505660"/>
      <w:r>
        <w:rPr>
          <w:rFonts w:hint="eastAsia" w:ascii="仿宋" w:hAnsi="仿宋" w:eastAsia="仿宋" w:cs="仿宋"/>
          <w:b/>
          <w:bCs/>
          <w:sz w:val="28"/>
          <w:szCs w:val="28"/>
        </w:rPr>
        <w:t>七、凡对本次采购提出询问，请按以下方式联系</w:t>
      </w:r>
      <w:bookmarkEnd w:id="13"/>
    </w:p>
    <w:p w14:paraId="6ED9AB3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1.采购人信息</w:t>
      </w:r>
    </w:p>
    <w:p w14:paraId="67F108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名称:</w:t>
      </w:r>
      <w:r>
        <w:rPr>
          <w:rFonts w:hint="eastAsia" w:ascii="仿宋" w:hAnsi="仿宋" w:eastAsia="仿宋" w:cs="仿宋"/>
          <w:bCs/>
          <w:sz w:val="32"/>
          <w:szCs w:val="32"/>
        </w:rPr>
        <w:t xml:space="preserve"> </w:t>
      </w:r>
      <w:r>
        <w:rPr>
          <w:rFonts w:hint="eastAsia" w:ascii="仿宋" w:hAnsi="仿宋" w:eastAsia="仿宋" w:cs="仿宋"/>
          <w:sz w:val="28"/>
          <w:szCs w:val="28"/>
        </w:rPr>
        <w:t>启东市城市水处理有限公司</w:t>
      </w:r>
    </w:p>
    <w:p w14:paraId="60D99F0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地址︰启东市经济开发区海洪路666号</w:t>
      </w:r>
    </w:p>
    <w:p w14:paraId="7A8C9C4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联系人∶顾女士</w:t>
      </w:r>
    </w:p>
    <w:p w14:paraId="475B52A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联系方式: 051383630068</w:t>
      </w:r>
    </w:p>
    <w:p w14:paraId="0C3E7B2A">
      <w:pPr>
        <w:spacing w:line="500" w:lineRule="exact"/>
        <w:jc w:val="right"/>
        <w:rPr>
          <w:rFonts w:ascii="仿宋" w:hAnsi="仿宋" w:eastAsia="仿宋" w:cs="仿宋"/>
          <w:b/>
          <w:bCs/>
          <w:sz w:val="28"/>
          <w:szCs w:val="28"/>
        </w:rPr>
      </w:pPr>
      <w:r>
        <w:rPr>
          <w:rFonts w:hint="eastAsia" w:ascii="仿宋" w:hAnsi="仿宋" w:eastAsia="仿宋" w:cs="仿宋"/>
          <w:b/>
          <w:bCs/>
          <w:sz w:val="28"/>
          <w:szCs w:val="28"/>
        </w:rPr>
        <w:t>启东市城市水处理有限公司</w:t>
      </w:r>
    </w:p>
    <w:p w14:paraId="0099BE58">
      <w:pPr>
        <w:wordWrap w:val="0"/>
        <w:spacing w:line="500" w:lineRule="exact"/>
        <w:ind w:firstLine="562" w:firstLineChars="200"/>
        <w:jc w:val="right"/>
        <w:rPr>
          <w:rFonts w:ascii="仿宋" w:hAnsi="仿宋" w:eastAsia="仿宋" w:cs="仿宋"/>
          <w:b/>
          <w:bCs/>
          <w:sz w:val="28"/>
          <w:szCs w:val="28"/>
          <w:highlight w:val="yellow"/>
        </w:rPr>
      </w:pPr>
      <w:r>
        <w:rPr>
          <w:rFonts w:hint="eastAsia" w:ascii="仿宋" w:hAnsi="仿宋" w:eastAsia="仿宋" w:cs="仿宋"/>
          <w:b/>
          <w:bCs/>
          <w:sz w:val="28"/>
          <w:szCs w:val="28"/>
          <w:highlight w:val="yellow"/>
        </w:rPr>
        <w:t>2024年</w:t>
      </w:r>
      <w:r>
        <w:rPr>
          <w:rFonts w:hint="eastAsia" w:ascii="仿宋" w:hAnsi="仿宋" w:eastAsia="仿宋" w:cs="仿宋"/>
          <w:b/>
          <w:bCs/>
          <w:sz w:val="28"/>
          <w:szCs w:val="28"/>
          <w:highlight w:val="yellow"/>
          <w:lang w:val="en-US" w:eastAsia="zh-CN"/>
        </w:rPr>
        <w:t xml:space="preserve"> 12 </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lang w:val="en-US" w:eastAsia="zh-CN"/>
        </w:rPr>
        <w:t xml:space="preserve">  2 </w:t>
      </w:r>
      <w:r>
        <w:rPr>
          <w:rFonts w:hint="eastAsia" w:ascii="仿宋" w:hAnsi="仿宋" w:eastAsia="仿宋" w:cs="仿宋"/>
          <w:b/>
          <w:bCs/>
          <w:sz w:val="28"/>
          <w:szCs w:val="28"/>
          <w:highlight w:val="yellow"/>
        </w:rPr>
        <w:t>日</w:t>
      </w:r>
    </w:p>
    <w:p w14:paraId="480A87E8">
      <w:pPr>
        <w:spacing w:line="500" w:lineRule="exact"/>
        <w:ind w:right="1124"/>
        <w:rPr>
          <w:rFonts w:ascii="仿宋" w:hAnsi="仿宋" w:eastAsia="仿宋" w:cs="仿宋"/>
          <w:b/>
          <w:bCs/>
          <w:sz w:val="28"/>
          <w:szCs w:val="28"/>
        </w:rPr>
      </w:pPr>
      <w:r>
        <w:rPr>
          <w:rFonts w:hint="eastAsia" w:ascii="仿宋" w:hAnsi="仿宋" w:eastAsia="仿宋" w:cs="仿宋"/>
          <w:b/>
          <w:bCs/>
          <w:sz w:val="28"/>
          <w:szCs w:val="28"/>
        </w:rPr>
        <w:t>附件: 项目采购文件</w:t>
      </w:r>
      <w:bookmarkEnd w:id="2"/>
      <w:bookmarkEnd w:id="3"/>
      <w:bookmarkEnd w:id="4"/>
      <w:bookmarkEnd w:id="5"/>
      <w:bookmarkEnd w:id="6"/>
      <w:bookmarkStart w:id="14" w:name="_Toc82505661"/>
      <w:bookmarkStart w:id="15" w:name="_Toc22736"/>
      <w:r>
        <w:rPr>
          <w:rFonts w:hint="eastAsia" w:ascii="仿宋" w:hAnsi="仿宋" w:eastAsia="仿宋" w:cs="仿宋"/>
          <w:bCs/>
          <w:sz w:val="36"/>
          <w:szCs w:val="36"/>
        </w:rPr>
        <w:br w:type="page"/>
      </w:r>
      <w:bookmarkStart w:id="58" w:name="_GoBack"/>
      <w:bookmarkEnd w:id="58"/>
    </w:p>
    <w:bookmarkEnd w:id="14"/>
    <w:bookmarkEnd w:id="15"/>
    <w:p w14:paraId="16502D13">
      <w:pPr>
        <w:pStyle w:val="3"/>
        <w:ind w:firstLine="883"/>
      </w:pPr>
      <w:bookmarkStart w:id="16" w:name="_Toc82505664"/>
      <w:bookmarkStart w:id="17" w:name="_Toc11926"/>
      <w:r>
        <w:rPr>
          <w:rFonts w:hint="eastAsia"/>
        </w:rPr>
        <w:t>第二部分  响应须知</w:t>
      </w:r>
      <w:bookmarkEnd w:id="16"/>
      <w:bookmarkEnd w:id="17"/>
    </w:p>
    <w:p w14:paraId="3B54C07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一、总则</w:t>
      </w:r>
    </w:p>
    <w:p w14:paraId="277B909A">
      <w:pPr>
        <w:adjustRightInd w:val="0"/>
        <w:snapToGrid w:val="0"/>
        <w:spacing w:line="500" w:lineRule="exact"/>
        <w:ind w:firstLine="560" w:firstLineChars="200"/>
        <w:rPr>
          <w:rFonts w:ascii="仿宋" w:hAnsi="仿宋" w:eastAsia="仿宋" w:cs="仿宋"/>
          <w:sz w:val="28"/>
          <w:szCs w:val="28"/>
        </w:rPr>
      </w:pPr>
      <w:bookmarkStart w:id="18" w:name="_Toc458694821"/>
      <w:bookmarkStart w:id="19" w:name="_Toc513029204"/>
      <w:bookmarkStart w:id="20" w:name="_Toc16938520"/>
      <w:bookmarkStart w:id="21" w:name="_Toc20823276"/>
      <w:r>
        <w:rPr>
          <w:rFonts w:hint="eastAsia" w:ascii="仿宋" w:hAnsi="仿宋" w:eastAsia="仿宋" w:cs="仿宋"/>
          <w:sz w:val="28"/>
          <w:szCs w:val="28"/>
        </w:rPr>
        <w:t>1</w:t>
      </w:r>
      <w:bookmarkEnd w:id="18"/>
      <w:r>
        <w:rPr>
          <w:rFonts w:hint="eastAsia" w:ascii="仿宋" w:hAnsi="仿宋" w:eastAsia="仿宋" w:cs="仿宋"/>
          <w:sz w:val="28"/>
          <w:szCs w:val="28"/>
        </w:rPr>
        <w:t>.采购方式</w:t>
      </w:r>
      <w:bookmarkEnd w:id="19"/>
      <w:bookmarkEnd w:id="20"/>
      <w:bookmarkEnd w:id="21"/>
    </w:p>
    <w:p w14:paraId="54C123DE">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本次采购采取询价方式，本询价文件仅适用于询价公告中所述项目。</w:t>
      </w:r>
    </w:p>
    <w:p w14:paraId="7D085D92">
      <w:pPr>
        <w:adjustRightInd w:val="0"/>
        <w:snapToGrid w:val="0"/>
        <w:spacing w:line="500" w:lineRule="exact"/>
        <w:ind w:firstLine="560" w:firstLineChars="200"/>
        <w:rPr>
          <w:rFonts w:ascii="仿宋" w:hAnsi="仿宋" w:eastAsia="仿宋" w:cs="仿宋"/>
          <w:sz w:val="28"/>
          <w:szCs w:val="28"/>
        </w:rPr>
      </w:pPr>
      <w:bookmarkStart w:id="22" w:name="_Toc20823277"/>
      <w:bookmarkStart w:id="23" w:name="_Toc16938521"/>
      <w:bookmarkStart w:id="24" w:name="_Toc513029205"/>
      <w:r>
        <w:rPr>
          <w:rFonts w:hint="eastAsia" w:ascii="仿宋" w:hAnsi="仿宋" w:eastAsia="仿宋" w:cs="仿宋"/>
          <w:sz w:val="28"/>
          <w:szCs w:val="28"/>
        </w:rPr>
        <w:t>2.合格的</w:t>
      </w:r>
      <w:bookmarkEnd w:id="22"/>
      <w:bookmarkEnd w:id="23"/>
      <w:bookmarkEnd w:id="24"/>
      <w:r>
        <w:rPr>
          <w:rFonts w:hint="eastAsia" w:ascii="仿宋" w:hAnsi="仿宋" w:eastAsia="仿宋" w:cs="仿宋"/>
          <w:sz w:val="28"/>
          <w:szCs w:val="28"/>
        </w:rPr>
        <w:t>响应供应商</w:t>
      </w:r>
    </w:p>
    <w:p w14:paraId="3D79E41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2.1满足询价公告中供应商的资格要求的规定。</w:t>
      </w:r>
    </w:p>
    <w:p w14:paraId="7998A4E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满足本文件实质性条款的规定。</w:t>
      </w:r>
    </w:p>
    <w:p w14:paraId="2E6FCFD4">
      <w:pPr>
        <w:adjustRightInd w:val="0"/>
        <w:snapToGrid w:val="0"/>
        <w:spacing w:line="500" w:lineRule="exact"/>
        <w:ind w:firstLine="560" w:firstLineChars="200"/>
        <w:rPr>
          <w:rFonts w:ascii="仿宋" w:hAnsi="仿宋" w:eastAsia="仿宋" w:cs="仿宋"/>
          <w:sz w:val="28"/>
          <w:szCs w:val="28"/>
        </w:rPr>
      </w:pPr>
      <w:bookmarkStart w:id="25" w:name="_Toc16938522"/>
      <w:bookmarkStart w:id="26" w:name="_Toc513029206"/>
      <w:bookmarkStart w:id="27" w:name="_Toc20823278"/>
      <w:r>
        <w:rPr>
          <w:rFonts w:hint="eastAsia" w:ascii="仿宋" w:hAnsi="仿宋" w:eastAsia="仿宋" w:cs="仿宋"/>
          <w:sz w:val="28"/>
          <w:szCs w:val="28"/>
        </w:rPr>
        <w:t>3.适用法律</w:t>
      </w:r>
      <w:bookmarkEnd w:id="25"/>
      <w:bookmarkEnd w:id="26"/>
      <w:bookmarkEnd w:id="27"/>
    </w:p>
    <w:p w14:paraId="58C5739A">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本次询价采购及由此产生的合同受中华人民共和国有关的法律法规制约和保护。</w:t>
      </w:r>
    </w:p>
    <w:p w14:paraId="5DFD2974">
      <w:pPr>
        <w:adjustRightInd w:val="0"/>
        <w:snapToGrid w:val="0"/>
        <w:spacing w:line="500" w:lineRule="exact"/>
        <w:ind w:firstLine="560" w:firstLineChars="200"/>
        <w:rPr>
          <w:rFonts w:ascii="仿宋" w:hAnsi="仿宋" w:eastAsia="仿宋" w:cs="仿宋"/>
          <w:sz w:val="28"/>
          <w:szCs w:val="28"/>
        </w:rPr>
      </w:pPr>
      <w:bookmarkStart w:id="28" w:name="_Toc513029207"/>
      <w:bookmarkStart w:id="29" w:name="_Toc16938523"/>
      <w:bookmarkStart w:id="30" w:name="_Toc462564067"/>
      <w:bookmarkStart w:id="31" w:name="_Toc20823279"/>
      <w:r>
        <w:rPr>
          <w:rFonts w:hint="eastAsia" w:ascii="仿宋" w:hAnsi="仿宋" w:eastAsia="仿宋" w:cs="仿宋"/>
          <w:sz w:val="28"/>
          <w:szCs w:val="28"/>
        </w:rPr>
        <w:t>4.响应费用</w:t>
      </w:r>
      <w:bookmarkEnd w:id="28"/>
      <w:bookmarkEnd w:id="29"/>
      <w:bookmarkEnd w:id="30"/>
      <w:bookmarkEnd w:id="31"/>
    </w:p>
    <w:p w14:paraId="2FF7FC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响应供应商应自行承担所有与参加响应有关的费用，无论响应过程中的做法和结果如何，采购人在任何情况下均无义务和责任承担这些费用。</w:t>
      </w:r>
    </w:p>
    <w:p w14:paraId="2AE46C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5.采购文件的约束力</w:t>
      </w:r>
    </w:p>
    <w:p w14:paraId="0AD1156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响应供应商一旦参加本项目采购活动，即被认为接受了本询价采购文件的规定和约束。</w:t>
      </w:r>
    </w:p>
    <w:p w14:paraId="1A1787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6.采购文件的解释</w:t>
      </w:r>
    </w:p>
    <w:p w14:paraId="78E46CC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本采购文件仅适用于本次询价采购。</w:t>
      </w:r>
    </w:p>
    <w:p w14:paraId="3FD4D32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7.报价要求</w:t>
      </w:r>
    </w:p>
    <w:p w14:paraId="4CE9E6D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7.1</w:t>
      </w:r>
      <w:r>
        <w:rPr>
          <w:rFonts w:hint="eastAsia" w:ascii="仿宋" w:hAnsi="仿宋" w:eastAsia="仿宋" w:cs="仿宋"/>
          <w:sz w:val="28"/>
          <w:szCs w:val="28"/>
          <w:lang w:val="en-US" w:eastAsia="zh-CN"/>
        </w:rPr>
        <w:t>本项目采用固定总价报价。投标报价包括但不限于：为完成合同范围内全部货物采购、运输、安装、调试等总费用，以及为完成上述内容所必须的临时项目、人工、材料设备、机械、施工、材料检测、配合作业、售后服务、保险、规费、利润、税金、政策性文件规定及合同包含的所有风险、责任等一切费用。在安装、验收过程中，如发现有漏项、缺件，中标人应无条件、无偿补齐，所发生的一切费用，视为已包含在供应商的投标报价之中，且并不因此而影响交付采购人使用的时间。投标时一次包定,不再另行追加。</w:t>
      </w:r>
    </w:p>
    <w:p w14:paraId="3BA98E6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7.2采购人不接受任何可选择的报价，成交供应商不得在供货期间提出任何增加费用的要求。请各供应商在报价时充分考虑各种因素。</w:t>
      </w:r>
    </w:p>
    <w:p w14:paraId="34914F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7.3</w:t>
      </w:r>
      <w:r>
        <w:rPr>
          <w:rFonts w:hint="eastAsia" w:ascii="仿宋" w:hAnsi="仿宋" w:eastAsia="仿宋" w:cs="仿宋"/>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4A6ED1EB">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二、采购文件</w:t>
      </w:r>
    </w:p>
    <w:p w14:paraId="60D7D76B">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1.采购文件的构成</w:t>
      </w:r>
    </w:p>
    <w:p w14:paraId="189C025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 采购文件由以下部分组成：</w:t>
      </w:r>
    </w:p>
    <w:p w14:paraId="7A9464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（1）询价采购公告</w:t>
      </w:r>
    </w:p>
    <w:p w14:paraId="60F32A2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（2）响应须知</w:t>
      </w:r>
    </w:p>
    <w:p w14:paraId="192E94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（3）项目需求</w:t>
      </w:r>
    </w:p>
    <w:p w14:paraId="608F747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（4）响应文件组成</w:t>
      </w:r>
    </w:p>
    <w:p w14:paraId="1C32041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（5）附件</w:t>
      </w:r>
    </w:p>
    <w:p w14:paraId="2F19A17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请响应供应商仔细检查采购文件是否齐全，如有缺漏请立即采购人联系解决。</w:t>
      </w:r>
    </w:p>
    <w:p w14:paraId="63E43E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4668F52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2.询价采购文件的澄清</w:t>
      </w:r>
    </w:p>
    <w:p w14:paraId="30E1CE4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任何要求对采购文件进行澄清的响应供应商，应在响应截止期3日前按询价采购公告中的通讯地址，以书面形式通知采购人。采购人有权对发出的采购文件进行必要的澄清或修改。</w:t>
      </w:r>
    </w:p>
    <w:p w14:paraId="685A0B80">
      <w:pPr>
        <w:adjustRightInd w:val="0"/>
        <w:snapToGrid w:val="0"/>
        <w:spacing w:line="500" w:lineRule="exact"/>
        <w:ind w:firstLine="560" w:firstLineChars="200"/>
        <w:rPr>
          <w:rFonts w:ascii="仿宋" w:hAnsi="仿宋" w:eastAsia="仿宋" w:cs="仿宋"/>
          <w:sz w:val="28"/>
          <w:szCs w:val="28"/>
        </w:rPr>
      </w:pPr>
      <w:bookmarkStart w:id="32" w:name="_Toc462564071"/>
      <w:bookmarkStart w:id="33" w:name="_Toc20823284"/>
      <w:bookmarkStart w:id="34" w:name="_Toc513029212"/>
      <w:bookmarkStart w:id="35" w:name="_Toc16938528"/>
      <w:r>
        <w:rPr>
          <w:rFonts w:hint="eastAsia" w:ascii="仿宋" w:hAnsi="仿宋" w:eastAsia="仿宋" w:cs="仿宋"/>
          <w:sz w:val="28"/>
          <w:szCs w:val="28"/>
        </w:rPr>
        <w:t>3.询价采购文件的修改</w:t>
      </w:r>
      <w:bookmarkEnd w:id="32"/>
      <w:bookmarkEnd w:id="33"/>
      <w:bookmarkEnd w:id="34"/>
      <w:bookmarkEnd w:id="35"/>
    </w:p>
    <w:p w14:paraId="46B5A2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3.1</w:t>
      </w:r>
      <w:r>
        <w:rPr>
          <w:rFonts w:hint="eastAsia" w:ascii="仿宋" w:hAnsi="仿宋" w:eastAsia="仿宋" w:cs="仿宋"/>
          <w:sz w:val="28"/>
          <w:szCs w:val="28"/>
        </w:rPr>
        <w:t>在响应截止时间前，采购人可以对采购文件进行修改。</w:t>
      </w:r>
    </w:p>
    <w:p w14:paraId="24BBF05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3.2 采购人</w:t>
      </w:r>
      <w:r>
        <w:rPr>
          <w:rFonts w:hint="eastAsia" w:ascii="仿宋" w:hAnsi="仿宋" w:eastAsia="仿宋" w:cs="仿宋"/>
          <w:sz w:val="28"/>
          <w:szCs w:val="28"/>
        </w:rPr>
        <w:t>有权按照法定的要求推迟响应截止日期和开标日期。</w:t>
      </w:r>
    </w:p>
    <w:p w14:paraId="7FC6DFA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 xml:space="preserve">3.3 </w:t>
      </w:r>
      <w:r>
        <w:rPr>
          <w:rFonts w:hint="eastAsia" w:ascii="仿宋" w:hAnsi="仿宋" w:eastAsia="仿宋" w:cs="仿宋"/>
          <w:sz w:val="28"/>
          <w:szCs w:val="28"/>
        </w:rPr>
        <w:t>采购文件的修改将在启东市城市水处理有限公司网站公布，补充文件将作为采购文件的组成部分，并对响应供应商具有约束力，请供应商及时关注网站公告信息。</w:t>
      </w:r>
    </w:p>
    <w:p w14:paraId="31B2EFC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三、响应文件的编制</w:t>
      </w:r>
    </w:p>
    <w:p w14:paraId="0EAA59DB">
      <w:pPr>
        <w:adjustRightInd w:val="0"/>
        <w:snapToGrid w:val="0"/>
        <w:spacing w:line="500" w:lineRule="exact"/>
        <w:ind w:firstLine="560" w:firstLineChars="200"/>
        <w:rPr>
          <w:rFonts w:ascii="仿宋" w:hAnsi="仿宋" w:eastAsia="仿宋" w:cs="仿宋"/>
          <w:bCs/>
          <w:sz w:val="28"/>
          <w:szCs w:val="28"/>
        </w:rPr>
      </w:pPr>
      <w:bookmarkStart w:id="36" w:name="_Toc16938530"/>
      <w:bookmarkStart w:id="37" w:name="_Toc20823286"/>
      <w:bookmarkStart w:id="38" w:name="_Toc462564073"/>
      <w:bookmarkStart w:id="39" w:name="_Toc513029214"/>
      <w:r>
        <w:rPr>
          <w:rFonts w:hint="eastAsia" w:ascii="仿宋" w:hAnsi="仿宋" w:eastAsia="仿宋" w:cs="仿宋"/>
          <w:bCs/>
          <w:sz w:val="28"/>
          <w:szCs w:val="28"/>
        </w:rPr>
        <w:t>1.响应文件的语言及度量衡单位</w:t>
      </w:r>
      <w:bookmarkEnd w:id="36"/>
      <w:bookmarkEnd w:id="37"/>
      <w:bookmarkEnd w:id="38"/>
      <w:bookmarkEnd w:id="39"/>
    </w:p>
    <w:p w14:paraId="4D5CE9A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1.1 响应供应商提交的响应文件以及响应供应商与采购人就有关响应的所有来往通知、函件和文件均应使用简体中文。</w:t>
      </w:r>
    </w:p>
    <w:p w14:paraId="4EDD7EE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1.2 除技术性能另有规定外，响应文件所使用的度量衡单位，均须采用国家法定计量单位。</w:t>
      </w:r>
    </w:p>
    <w:p w14:paraId="0BCDA5A1">
      <w:pPr>
        <w:adjustRightInd w:val="0"/>
        <w:snapToGrid w:val="0"/>
        <w:spacing w:line="500" w:lineRule="exact"/>
        <w:ind w:firstLine="560" w:firstLineChars="200"/>
        <w:rPr>
          <w:rFonts w:ascii="仿宋" w:hAnsi="仿宋" w:eastAsia="仿宋" w:cs="仿宋"/>
          <w:bCs/>
          <w:sz w:val="28"/>
          <w:szCs w:val="28"/>
        </w:rPr>
      </w:pPr>
      <w:bookmarkStart w:id="40" w:name="_Toc513029215"/>
      <w:bookmarkStart w:id="41" w:name="_Toc462564074"/>
      <w:bookmarkStart w:id="42" w:name="_Toc16938531"/>
      <w:bookmarkStart w:id="43" w:name="_Toc20823287"/>
      <w:r>
        <w:rPr>
          <w:rFonts w:hint="eastAsia" w:ascii="仿宋" w:hAnsi="仿宋" w:eastAsia="仿宋" w:cs="仿宋"/>
          <w:bCs/>
          <w:sz w:val="28"/>
          <w:szCs w:val="28"/>
        </w:rPr>
        <w:t>2.响应文件构成</w:t>
      </w:r>
      <w:bookmarkEnd w:id="40"/>
      <w:bookmarkEnd w:id="41"/>
      <w:bookmarkEnd w:id="42"/>
      <w:bookmarkEnd w:id="43"/>
    </w:p>
    <w:p w14:paraId="463F7A80">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响应供应商应按“第四部分响应文件组成”要求编写响应文件。</w:t>
      </w:r>
    </w:p>
    <w:p w14:paraId="30B7A71C">
      <w:pPr>
        <w:adjustRightInd w:val="0"/>
        <w:snapToGrid w:val="0"/>
        <w:spacing w:line="500" w:lineRule="exact"/>
        <w:ind w:firstLine="560" w:firstLineChars="200"/>
        <w:rPr>
          <w:rFonts w:ascii="仿宋" w:hAnsi="仿宋" w:eastAsia="仿宋" w:cs="仿宋"/>
          <w:sz w:val="28"/>
          <w:szCs w:val="28"/>
        </w:rPr>
      </w:pPr>
      <w:bookmarkStart w:id="44" w:name="_Hlt26670360"/>
      <w:bookmarkEnd w:id="44"/>
      <w:bookmarkStart w:id="45" w:name="_Hlt26954838"/>
      <w:bookmarkEnd w:id="45"/>
      <w:bookmarkStart w:id="46" w:name="_Hlt26668975"/>
      <w:bookmarkEnd w:id="46"/>
      <w:bookmarkStart w:id="47" w:name="_Toc14577360"/>
      <w:bookmarkStart w:id="48" w:name="_Toc49090511"/>
      <w:r>
        <w:rPr>
          <w:rFonts w:hint="eastAsia" w:ascii="仿宋" w:hAnsi="仿宋" w:eastAsia="仿宋" w:cs="仿宋"/>
          <w:sz w:val="28"/>
          <w:szCs w:val="28"/>
        </w:rPr>
        <w:t>3.</w:t>
      </w:r>
      <w:r>
        <w:rPr>
          <w:rFonts w:hint="eastAsia" w:ascii="仿宋" w:hAnsi="仿宋" w:eastAsia="仿宋" w:cs="仿宋"/>
          <w:bCs/>
          <w:sz w:val="28"/>
          <w:szCs w:val="28"/>
        </w:rPr>
        <w:t>响应</w:t>
      </w:r>
      <w:r>
        <w:rPr>
          <w:rFonts w:hint="eastAsia" w:ascii="仿宋" w:hAnsi="仿宋" w:eastAsia="仿宋" w:cs="仿宋"/>
          <w:sz w:val="28"/>
          <w:szCs w:val="28"/>
        </w:rPr>
        <w:t>文件的密封、签署、提交</w:t>
      </w:r>
    </w:p>
    <w:p w14:paraId="47D1F268">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3.1</w:t>
      </w:r>
      <w:r>
        <w:rPr>
          <w:rFonts w:hint="eastAsia" w:ascii="仿宋" w:hAnsi="仿宋" w:eastAsia="仿宋" w:cs="仿宋"/>
          <w:bCs/>
          <w:sz w:val="28"/>
          <w:szCs w:val="28"/>
        </w:rPr>
        <w:t>响应文件必须提供1份正本2份副本。</w:t>
      </w:r>
    </w:p>
    <w:p w14:paraId="30714F72">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3.2响应文件统一采用现场递交。</w:t>
      </w:r>
    </w:p>
    <w:p w14:paraId="3D45A91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3.3</w:t>
      </w:r>
      <w:r>
        <w:rPr>
          <w:rFonts w:hint="eastAsia" w:ascii="仿宋" w:hAnsi="仿宋" w:eastAsia="仿宋" w:cs="仿宋"/>
          <w:bCs/>
          <w:sz w:val="28"/>
          <w:szCs w:val="28"/>
        </w:rPr>
        <w:t>响应</w:t>
      </w:r>
      <w:r>
        <w:rPr>
          <w:rFonts w:hint="eastAsia" w:ascii="仿宋" w:hAnsi="仿宋" w:eastAsia="仿宋" w:cs="仿宋"/>
          <w:sz w:val="28"/>
          <w:szCs w:val="28"/>
        </w:rPr>
        <w:t>文件均需采用A4纸（图纸等除外）打印并装订成册，不允许使用活页夹、拉杆夹、文件夹、塑料方便式书脊（插入式或穿孔式）装订，并应在</w:t>
      </w:r>
      <w:r>
        <w:rPr>
          <w:rFonts w:hint="eastAsia" w:ascii="仿宋" w:hAnsi="仿宋" w:eastAsia="仿宋" w:cs="仿宋"/>
          <w:bCs/>
          <w:sz w:val="28"/>
          <w:szCs w:val="28"/>
        </w:rPr>
        <w:t>响应</w:t>
      </w:r>
      <w:r>
        <w:rPr>
          <w:rFonts w:hint="eastAsia" w:ascii="仿宋" w:hAnsi="仿宋" w:eastAsia="仿宋" w:cs="仿宋"/>
          <w:sz w:val="28"/>
          <w:szCs w:val="28"/>
        </w:rPr>
        <w:t>文件封面</w:t>
      </w:r>
      <w:r>
        <w:rPr>
          <w:rFonts w:hint="eastAsia" w:ascii="仿宋" w:hAnsi="仿宋" w:eastAsia="仿宋" w:cs="仿宋"/>
          <w:sz w:val="28"/>
          <w:szCs w:val="28"/>
          <w:lang w:val="en-US" w:eastAsia="zh-CN"/>
        </w:rPr>
        <w:t>上</w:t>
      </w:r>
      <w:r>
        <w:rPr>
          <w:rFonts w:hint="eastAsia" w:ascii="仿宋" w:hAnsi="仿宋" w:eastAsia="仿宋" w:cs="仿宋"/>
          <w:sz w:val="28"/>
          <w:szCs w:val="28"/>
        </w:rPr>
        <w:t>清楚地注明“正本”或“副本”。正本和副本如有不一致之处，以正本为准。</w:t>
      </w:r>
    </w:p>
    <w:p w14:paraId="0DC2228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3.4响应供应商应在响应文件密封袋上标明：采购人名称、项目名称、供应商名称、响应文件名称。</w:t>
      </w:r>
    </w:p>
    <w:p w14:paraId="5351487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3.5所有响应文件密封袋的封口处均应加盖供应商印章。</w:t>
      </w:r>
    </w:p>
    <w:p w14:paraId="336A24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3.6如果响应供应商未按上述要求装订密封及加写标记，将作无效响应文件处理。</w:t>
      </w:r>
    </w:p>
    <w:p w14:paraId="192B1A9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4.响应文件的盖章要求</w:t>
      </w:r>
    </w:p>
    <w:p w14:paraId="04DCF8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4.1响应文件必须加盖骑缝章</w:t>
      </w:r>
      <w:r>
        <w:rPr>
          <w:rFonts w:hint="eastAsia" w:ascii="仿宋" w:hAnsi="仿宋" w:eastAsia="仿宋" w:cs="仿宋"/>
          <w:sz w:val="28"/>
          <w:szCs w:val="28"/>
          <w:lang w:val="en-US" w:eastAsia="zh-CN"/>
        </w:rPr>
        <w:t>和</w:t>
      </w:r>
      <w:r>
        <w:rPr>
          <w:rFonts w:hint="eastAsia" w:ascii="仿宋" w:hAnsi="仿宋" w:eastAsia="仿宋" w:cs="仿宋"/>
          <w:sz w:val="28"/>
          <w:szCs w:val="28"/>
        </w:rPr>
        <w:t>每页盖章。</w:t>
      </w:r>
    </w:p>
    <w:p w14:paraId="3F7AD83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4.2响应文件如有修改、行间内插字和增删，修改处应由响应供应商加盖印章。</w:t>
      </w:r>
    </w:p>
    <w:p w14:paraId="798FD3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4.3响应文件均需打印并装订成册，签字使用不褪色的蓝、黑墨水笔书写，字迹应清晰易于辨认，如因响应文件字迹潦草或表达不清所引起的后果由响应供应商负责。响应供应商应在响应文件封面上清楚地注明“正本”或“副本”，正本和副本如有不一致之处，以正本为准。</w:t>
      </w:r>
    </w:p>
    <w:p w14:paraId="678F7F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5.响应有效期</w:t>
      </w:r>
      <w:bookmarkEnd w:id="47"/>
      <w:bookmarkEnd w:id="48"/>
    </w:p>
    <w:p w14:paraId="4B76BA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响应文件和响应供应商法定代表人或其授权委托人签署的文件、资料的有效期为自开标之日起60个日历日。</w:t>
      </w:r>
      <w:r>
        <w:rPr>
          <w:rFonts w:hint="eastAsia" w:ascii="仿宋" w:hAnsi="仿宋" w:eastAsia="仿宋" w:cs="仿宋"/>
          <w:bCs/>
          <w:sz w:val="28"/>
          <w:szCs w:val="28"/>
        </w:rPr>
        <w:t>响应有效期比规定短的将被视为非响应性响应而予以拒绝。</w:t>
      </w:r>
    </w:p>
    <w:p w14:paraId="1894532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6.响应有效期的延长</w:t>
      </w:r>
    </w:p>
    <w:p w14:paraId="3AE2DA02">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14:paraId="2D500864">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四、响应文件的递交</w:t>
      </w:r>
    </w:p>
    <w:p w14:paraId="6C5130DF">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1.响应文件的递交</w:t>
      </w:r>
    </w:p>
    <w:p w14:paraId="5A8EB13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1.1响应供应商应当在响应文件提交截止时间前提交按照采购文件要求密封的响应文件。</w:t>
      </w:r>
    </w:p>
    <w:p w14:paraId="43B5AE5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1.2响应文件的内容不清楚或不清晰的，造成无法评审或部分影响评审的，导致评审差错的，责任由供应商自负。</w:t>
      </w:r>
    </w:p>
    <w:p w14:paraId="3E4275A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2.响应截止日期</w:t>
      </w:r>
    </w:p>
    <w:p w14:paraId="468D926F">
      <w:pPr>
        <w:adjustRightInd w:val="0"/>
        <w:snapToGrid w:val="0"/>
        <w:spacing w:line="500" w:lineRule="exact"/>
        <w:ind w:firstLine="560" w:firstLineChars="200"/>
        <w:rPr>
          <w:rFonts w:ascii="仿宋" w:hAnsi="仿宋" w:eastAsia="仿宋" w:cs="仿宋"/>
          <w:sz w:val="28"/>
          <w:szCs w:val="28"/>
        </w:rPr>
      </w:pPr>
      <w:bookmarkStart w:id="49" w:name="_Toc513029227"/>
      <w:bookmarkStart w:id="50" w:name="_Toc16938543"/>
      <w:bookmarkStart w:id="51" w:name="_Toc20823299"/>
      <w:r>
        <w:rPr>
          <w:rFonts w:hint="eastAsia" w:ascii="仿宋" w:hAnsi="仿宋" w:eastAsia="仿宋" w:cs="仿宋"/>
          <w:sz w:val="28"/>
          <w:szCs w:val="28"/>
        </w:rPr>
        <w:t>2.1 响应供应商提交的响应文件的时间不得迟于采购公告中规定的响应文件提交截止时间。</w:t>
      </w:r>
    </w:p>
    <w:p w14:paraId="66C7E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采购人可以按照规定，通过修改响应文件酌情延长响应文件提交截止日期，在此情况下，响应供应商的所有权利和义务以及响应供应商受制的截止日期均应以延长后新的截止日期为准。</w:t>
      </w:r>
    </w:p>
    <w:p w14:paraId="7F26A138">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3.响应文件</w:t>
      </w:r>
      <w:bookmarkEnd w:id="49"/>
      <w:bookmarkEnd w:id="50"/>
      <w:bookmarkEnd w:id="51"/>
      <w:r>
        <w:rPr>
          <w:rFonts w:hint="eastAsia" w:ascii="仿宋" w:hAnsi="仿宋" w:eastAsia="仿宋" w:cs="仿宋"/>
          <w:bCs/>
          <w:sz w:val="28"/>
          <w:szCs w:val="28"/>
        </w:rPr>
        <w:t>的拒收</w:t>
      </w:r>
    </w:p>
    <w:p w14:paraId="7BBE6D1A">
      <w:pPr>
        <w:adjustRightInd w:val="0"/>
        <w:snapToGrid w:val="0"/>
        <w:spacing w:line="500" w:lineRule="exact"/>
        <w:ind w:firstLine="560" w:firstLineChars="200"/>
        <w:rPr>
          <w:rFonts w:ascii="仿宋" w:hAnsi="仿宋" w:eastAsia="仿宋" w:cs="仿宋"/>
          <w:sz w:val="28"/>
          <w:szCs w:val="28"/>
        </w:rPr>
      </w:pPr>
      <w:bookmarkStart w:id="52" w:name="_Toc16938544"/>
      <w:bookmarkStart w:id="53" w:name="_Toc513029228"/>
      <w:bookmarkStart w:id="54" w:name="_Toc20823300"/>
      <w:r>
        <w:rPr>
          <w:rFonts w:hint="eastAsia" w:ascii="仿宋" w:hAnsi="仿宋" w:eastAsia="仿宋" w:cs="仿宋"/>
          <w:sz w:val="28"/>
          <w:szCs w:val="28"/>
        </w:rPr>
        <w:t>采购人拒绝接收未按照采购文件要求密封的响应文件，拒绝接收在响应文件接收截止时间后送达的响应文件。</w:t>
      </w:r>
    </w:p>
    <w:p w14:paraId="2CBD9D61">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4.响应文件的修改</w:t>
      </w:r>
      <w:bookmarkEnd w:id="52"/>
      <w:bookmarkEnd w:id="53"/>
      <w:bookmarkEnd w:id="54"/>
    </w:p>
    <w:p w14:paraId="3D20E10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4.1 在响应文件提交截止时间之后，响应供应商不得对其响应文件作任何修改。</w:t>
      </w:r>
    </w:p>
    <w:p w14:paraId="5D4C94E3">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4.2 在响应文件提交截止时间至采购文件中规定的响应有效期满之间的这段时间内，响应供应商不得撤回其响应。</w:t>
      </w:r>
    </w:p>
    <w:p w14:paraId="3DF38580">
      <w:pPr>
        <w:adjustRightInd w:val="0"/>
        <w:snapToGrid w:val="0"/>
        <w:spacing w:line="500" w:lineRule="exact"/>
        <w:jc w:val="left"/>
        <w:rPr>
          <w:rFonts w:ascii="仿宋" w:hAnsi="仿宋" w:eastAsia="仿宋" w:cs="仿宋"/>
          <w:b/>
          <w:sz w:val="28"/>
          <w:szCs w:val="28"/>
        </w:rPr>
      </w:pPr>
      <w:r>
        <w:rPr>
          <w:rFonts w:hint="eastAsia" w:ascii="仿宋" w:hAnsi="仿宋" w:eastAsia="仿宋" w:cs="仿宋"/>
          <w:b/>
          <w:sz w:val="28"/>
          <w:szCs w:val="28"/>
        </w:rPr>
        <w:t>五、询价采购程序</w:t>
      </w:r>
    </w:p>
    <w:p w14:paraId="5CF9A27C">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1.询价小组</w:t>
      </w:r>
    </w:p>
    <w:p w14:paraId="627014A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1.1 开标后，采购人将立即组织询价小组进行评标。</w:t>
      </w:r>
    </w:p>
    <w:p w14:paraId="6DD9F05A">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1.2 询价小组由采购人代表组成，且人员构成符合政府采购有关规定。</w:t>
      </w:r>
    </w:p>
    <w:p w14:paraId="35E642C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1.3询价小组应当按照客观、公正、审慎的原则评审响应供应商的响应文件。</w:t>
      </w:r>
    </w:p>
    <w:p w14:paraId="468EB952">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2.响应的澄清</w:t>
      </w:r>
    </w:p>
    <w:p w14:paraId="3E37FD32">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2.1评审期间，为有助于对响应文件的审查、评价和比较，询价小组有权要求供应商对其响应文件进行澄清，但并非对每个供应商都作澄清要求。</w:t>
      </w:r>
    </w:p>
    <w:p w14:paraId="2C35B03F">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2.2接到询价小组澄清要求的供应商应派人按询价小组规定的时间和格式作出澄清，澄清的内容作为响应文件的补充部分，但响应的价格和实质性的内容不得做任何更改。</w:t>
      </w:r>
    </w:p>
    <w:p w14:paraId="275984E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2.3 接到询价小组澄清要求的供应商如未按规定做出澄清，其风险由供应商自行承担。</w:t>
      </w:r>
    </w:p>
    <w:p w14:paraId="0128890E">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3.对响应文件的初审</w:t>
      </w:r>
    </w:p>
    <w:p w14:paraId="14DC33A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3.1响应文件初审分为资格性检查和符合性检查。</w:t>
      </w:r>
    </w:p>
    <w:p w14:paraId="5A13E90A">
      <w:pPr>
        <w:numPr>
          <w:ilvl w:val="0"/>
          <w:numId w:val="1"/>
        </w:num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资格性检查：依据法律法规和采购文件的规定，对响应文件中的资格证明文件等进行审查，以确定供应商是否具备参加询价的资格。</w:t>
      </w:r>
    </w:p>
    <w:p w14:paraId="1045348B">
      <w:pPr>
        <w:adjustRightInd w:val="0"/>
        <w:snapToGrid w:val="0"/>
        <w:spacing w:line="500" w:lineRule="exact"/>
        <w:ind w:firstLine="560" w:firstLineChars="200"/>
        <w:jc w:val="left"/>
        <w:rPr>
          <w:rFonts w:ascii="仿宋" w:hAnsi="仿宋" w:eastAsia="仿宋" w:cs="仿宋"/>
        </w:rPr>
      </w:pPr>
      <w:r>
        <w:rPr>
          <w:rFonts w:hint="eastAsia" w:ascii="仿宋" w:hAnsi="仿宋" w:eastAsia="仿宋" w:cs="仿宋"/>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14:paraId="03B612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3CCAFA1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资格性审查未通过的响应供应商作无效响应处理。</w:t>
      </w:r>
    </w:p>
    <w:p w14:paraId="3AF6C4E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14:paraId="41B7267D">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（3）未通过资格性审查或符合性审查的响应供应商采购单位将告知其未通过资格性审查或符合性审查的原因。</w:t>
      </w:r>
    </w:p>
    <w:p w14:paraId="750CCD7C">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询价小组将对确定为实质性响应的响应进行进一步审核，看其是否有计算</w:t>
      </w:r>
      <w:r>
        <w:rPr>
          <w:rFonts w:hint="eastAsia" w:ascii="仿宋" w:hAnsi="仿宋" w:eastAsia="仿宋" w:cs="仿宋"/>
          <w:sz w:val="28"/>
          <w:szCs w:val="28"/>
        </w:rPr>
        <w:t>上或累加上的算术错误，修正错误的原则如下：</w:t>
      </w:r>
    </w:p>
    <w:p w14:paraId="0102E535">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（1）响应文件中开标一览表内容与响应文件中相应内容不一致的，以开标一览表为准。</w:t>
      </w:r>
    </w:p>
    <w:p w14:paraId="2668CE1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（2）大写金额和小写金额不一致的，以大写金额为准。</w:t>
      </w:r>
    </w:p>
    <w:p w14:paraId="55063D29">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（3）总价金额与按单价汇总金额不一致的，以单价金额计算结果为准。</w:t>
      </w:r>
    </w:p>
    <w:p w14:paraId="30C4A9D3">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同时出现两种以上错误的，按照前款规定的顺序修正。</w:t>
      </w:r>
    </w:p>
    <w:p w14:paraId="3869B3DC">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2351D0F4">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343454E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3.5询价小组允许修正响应文件中不构成重大偏离的、微小的、非正规的、不一致的或不规则的地方，但这些修改不能影响任何响应供应商相应的名次排列。</w:t>
      </w:r>
    </w:p>
    <w:p w14:paraId="0A16E6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267E3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3.7响应供应商在询价采购活动全过程中应保持通讯畅通，并安排专人与采购人及询价小组联系。</w:t>
      </w:r>
    </w:p>
    <w:p w14:paraId="22E696A6">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4.无效响应及废标情形</w:t>
      </w:r>
    </w:p>
    <w:p w14:paraId="2CFC25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4.1符合下列情形之一者，响应供应商响应无效：</w:t>
      </w:r>
    </w:p>
    <w:p w14:paraId="1CF5FCD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（1）响应供应商未按本采购文件要求进行制作或密封的；</w:t>
      </w:r>
    </w:p>
    <w:p w14:paraId="2FC5C9A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（2）响应文件未按采购文件的要求签字或盖章的。</w:t>
      </w:r>
    </w:p>
    <w:p w14:paraId="0DC9AAD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pacing w:val="-6"/>
          <w:sz w:val="28"/>
          <w:szCs w:val="28"/>
        </w:rPr>
        <w:t>响应文件未按规定加盖供应商印章，投标报价部分未盖章的。</w:t>
      </w:r>
    </w:p>
    <w:p w14:paraId="23D309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（4）响应文件的关键内容字迹模糊，无法辨认的。</w:t>
      </w:r>
    </w:p>
    <w:p w14:paraId="6082A3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（5）同</w:t>
      </w:r>
      <w:r>
        <w:rPr>
          <w:rFonts w:hint="eastAsia" w:ascii="仿宋" w:hAnsi="仿宋" w:eastAsia="仿宋" w:cs="仿宋"/>
          <w:spacing w:val="-6"/>
          <w:sz w:val="28"/>
          <w:szCs w:val="28"/>
        </w:rPr>
        <w:t>一响应供应商提交两个（含两个）以上不同的响应报价的；</w:t>
      </w:r>
    </w:p>
    <w:p w14:paraId="0F664A9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（6）响应供应商不具备采购文件中规定资格要求的；</w:t>
      </w:r>
    </w:p>
    <w:p w14:paraId="1A9E13E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（7）响应供应商的报价超过了采购预算或最高限价的；</w:t>
      </w:r>
    </w:p>
    <w:p w14:paraId="3400213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（8）未通过资格性、符合性审查的；</w:t>
      </w:r>
    </w:p>
    <w:p w14:paraId="692AF34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（9）不符合询价采购文件中规定的其他实质性要求和条件的；</w:t>
      </w:r>
    </w:p>
    <w:p w14:paraId="3C5E037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421AAFA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（11）响应文件含有采购人不能接受的附加条件的；</w:t>
      </w:r>
    </w:p>
    <w:p w14:paraId="237185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（12）其他法律、法规及本采购文件规定的属无效响应的情形。4.2符合下列情形之一者，本采购项目废标：</w:t>
      </w:r>
    </w:p>
    <w:p w14:paraId="337489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Cs/>
          <w:sz w:val="28"/>
          <w:szCs w:val="28"/>
        </w:rPr>
        <w:t>符合专业条件的供应商或者对采购文件作实质响应的供应商不足三家的</w:t>
      </w:r>
      <w:r>
        <w:rPr>
          <w:rFonts w:hint="eastAsia" w:ascii="仿宋" w:hAnsi="仿宋" w:eastAsia="仿宋" w:cs="仿宋"/>
          <w:sz w:val="28"/>
          <w:szCs w:val="28"/>
        </w:rPr>
        <w:t>；</w:t>
      </w:r>
    </w:p>
    <w:p w14:paraId="0060C8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（2）所有合格响应供应商的报价均超过本项目预算金额或最高限价的；</w:t>
      </w:r>
    </w:p>
    <w:p w14:paraId="6B72259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（3）出现影响采购公正的违法、违规行为的；</w:t>
      </w:r>
    </w:p>
    <w:p w14:paraId="5C10BC9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（4）因重大变故，采购任务取消的；</w:t>
      </w:r>
    </w:p>
    <w:p w14:paraId="615423E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废标后，对于特殊紧急的采购项目，经监管部门批准后采购人可直接改变采购方式，现场继续组织采购活动。</w:t>
      </w:r>
    </w:p>
    <w:p w14:paraId="6FC2CE31">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六、成交原则</w:t>
      </w:r>
    </w:p>
    <w:p w14:paraId="28D559D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1.确定成交单位</w:t>
      </w:r>
    </w:p>
    <w:p w14:paraId="6442881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1.1符合采购需求且报价最低者成交。</w:t>
      </w:r>
    </w:p>
    <w:p w14:paraId="032479F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1.2若最低报价有相同时，则通过抽签方式确定中标候选人。</w:t>
      </w:r>
    </w:p>
    <w:p w14:paraId="6974F0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1.3当第一中标人放弃中标、因不可抗力不能履行合同、不按照招标文件要求提交履约保证金，或者被查实存在影响中标结果的违法行为等情形，不符合中标条件的，招标人依法重新招标。</w:t>
      </w:r>
    </w:p>
    <w:p w14:paraId="19424F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1.4第一中标候选人无正当理由放弃中标记不良信誉，并列入启东城投集团不良信用库，近两年内拒绝在城投集团及其子公司内投标。</w:t>
      </w:r>
    </w:p>
    <w:p w14:paraId="06E396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1.5成交结果公告</w:t>
      </w:r>
    </w:p>
    <w:p w14:paraId="563CE9B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成交结果公告将在“启东市城市水处理有限公司网站”发布，公告期限为1个工作日。</w:t>
      </w:r>
    </w:p>
    <w:p w14:paraId="462E550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1.6若有充分证据证明，成交供应商出现下列情况之一的，一经查实，将被取消成交资格：</w:t>
      </w:r>
    </w:p>
    <w:p w14:paraId="0B2648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（1）提供虚假材料谋取成交的；</w:t>
      </w:r>
    </w:p>
    <w:p w14:paraId="65BA4A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（2）向采购人行贿或者提供其他不正当利益的；</w:t>
      </w:r>
    </w:p>
    <w:p w14:paraId="0F1C99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（3）恶意竞争，响应总报价明显低于其自身合理成本且又无法提供证明的；</w:t>
      </w:r>
    </w:p>
    <w:p w14:paraId="453E83E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（4）属于本文件规定的无效条件，但在评审过程中又未被询价小组发现的；</w:t>
      </w:r>
    </w:p>
    <w:p w14:paraId="420BD6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（5）与采购人或者其他供应商恶意串通的；</w:t>
      </w:r>
    </w:p>
    <w:p w14:paraId="1214656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（6）采取不正当手段诋毁、排挤其他供应商的；</w:t>
      </w:r>
    </w:p>
    <w:p w14:paraId="23AE7D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（7）如有涉及对采购文件实质性内容的隐瞒、欺诈或违法违规行为的。</w:t>
      </w:r>
    </w:p>
    <w:p w14:paraId="6B500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1.7有下列情形之一的，视为响应供应商串通响应，响应无效：</w:t>
      </w:r>
    </w:p>
    <w:p w14:paraId="6F904DC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（1）不同响应供应商的响应文件由同一单位或者个人编制；</w:t>
      </w:r>
    </w:p>
    <w:p w14:paraId="40A73BF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（2）不同响应供应商委托同一单位或者个人办理响应事宜；</w:t>
      </w:r>
    </w:p>
    <w:p w14:paraId="1D572D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（3）不同响应供应商的响应文件载明的项目管理成员或者联系人员为同一人；</w:t>
      </w:r>
    </w:p>
    <w:p w14:paraId="0C1B31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（4）不同响应供应商的响应文件异常一致或者响应报价呈规律性差异；</w:t>
      </w:r>
    </w:p>
    <w:p w14:paraId="1C3C6F4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（5）不同响应供应商的响应文件相互混装。</w:t>
      </w:r>
    </w:p>
    <w:p w14:paraId="202A2E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2.质疑处理</w:t>
      </w:r>
    </w:p>
    <w:p w14:paraId="01EABAC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 提出质疑的供应商应当是参与所质疑项目采购活动的供应商。潜在供应商依法获取其可质疑的采购文件的，可以对采购文件提出质疑。</w:t>
      </w:r>
    </w:p>
    <w:p w14:paraId="1CF9C0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14:paraId="5F35FEED">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对可以质疑的采购文件提出质疑的，为收到采购文件之日或者采购文件公告期限届满之日；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（2）</w:t>
      </w:r>
      <w:r>
        <w:rPr>
          <w:rFonts w:hint="eastAsia" w:ascii="仿宋" w:hAnsi="仿宋" w:eastAsia="仿宋" w:cs="仿宋"/>
          <w:kern w:val="0"/>
          <w:sz w:val="28"/>
          <w:szCs w:val="28"/>
        </w:rPr>
        <w:t>对采购过程提出质疑的，为各采购程序环节结束之日；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（3）</w:t>
      </w:r>
      <w:r>
        <w:rPr>
          <w:rFonts w:hint="eastAsia" w:ascii="仿宋" w:hAnsi="仿宋" w:eastAsia="仿宋" w:cs="仿宋"/>
          <w:kern w:val="0"/>
          <w:sz w:val="28"/>
          <w:szCs w:val="28"/>
        </w:rPr>
        <w:t>对中标或者成交结果提出质疑的，为中标或者成交结果公告期限届满之日。</w:t>
      </w:r>
    </w:p>
    <w:p w14:paraId="7C1B9270">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供应商应当在法定质疑期内一次性提出针对同一采购程序环节的质疑。</w:t>
      </w:r>
    </w:p>
    <w:p w14:paraId="523B4AE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2.3质疑函必须按照本采购文件中《质疑函范本》（附件8）要求的格式和内容进行填写。供应商如组成联合体参加响应，则《质疑函范本》中要求签字、盖章、加盖公章之处，联合体各方均须按要求签字、盖章、加盖公章。</w:t>
      </w:r>
    </w:p>
    <w:p w14:paraId="5941EAC2">
      <w:pPr>
        <w:adjustRightInd w:val="0"/>
        <w:snapToGrid w:val="0"/>
        <w:spacing w:line="50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2.4对采购方式、采购文件中项目需求、供应商资格条件等应当由采购人答复的质疑，请向采购人提出，由采购人负责答复。为方便供应商提起质疑，供应商向采购人以书面形式提交质疑函。</w:t>
      </w:r>
    </w:p>
    <w:p w14:paraId="42AFFAA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采购人质疑接收人及联系方式，见采购文件第一部分。</w:t>
      </w:r>
    </w:p>
    <w:p w14:paraId="580E82C0">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2.5 以下情形的质疑不予受理</w:t>
      </w:r>
    </w:p>
    <w:p w14:paraId="015C412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（1）内容不符合《政府采购质疑和投诉办法》第十二条规定的质疑。</w:t>
      </w:r>
    </w:p>
    <w:p w14:paraId="79794B2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（2）超出政府采购法定期限的质疑。</w:t>
      </w:r>
    </w:p>
    <w:p w14:paraId="2DCC275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（3）未参加响应活动的供应商或在响应活动中自身权益未受到损害的供应商所提出的质疑。</w:t>
      </w:r>
    </w:p>
    <w:p w14:paraId="3089216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（4）供应商组成联合体参加响应，联合体中任何一方或多方未按要求签字、盖章、加盖公章的质疑。</w:t>
      </w:r>
    </w:p>
    <w:p w14:paraId="26D6CB83">
      <w:pPr>
        <w:adjustRightInd w:val="0"/>
        <w:snapToGrid w:val="0"/>
        <w:spacing w:line="500" w:lineRule="exact"/>
        <w:ind w:firstLine="546" w:firstLineChars="195"/>
        <w:rPr>
          <w:rFonts w:ascii="仿宋" w:hAnsi="仿宋" w:eastAsia="仿宋" w:cs="仿宋"/>
          <w:sz w:val="28"/>
          <w:szCs w:val="28"/>
        </w:rPr>
      </w:pPr>
      <w:r>
        <w:rPr>
          <w:rFonts w:hint="eastAsia" w:ascii="仿宋" w:hAnsi="仿宋" w:eastAsia="仿宋" w:cs="仿宋"/>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17724AF5">
      <w:pPr>
        <w:numPr>
          <w:ilvl w:val="0"/>
          <w:numId w:val="2"/>
        </w:num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w:t>
      </w:r>
    </w:p>
    <w:p w14:paraId="65888754">
      <w:pPr>
        <w:pStyle w:val="42"/>
        <w:adjustRightInd w:val="0"/>
        <w:snapToGrid w:val="0"/>
        <w:spacing w:line="500" w:lineRule="exact"/>
        <w:ind w:firstLine="560"/>
        <w:rPr>
          <w:rFonts w:ascii="仿宋" w:hAnsi="仿宋" w:eastAsia="仿宋" w:cs="仿宋"/>
          <w:bCs/>
          <w:sz w:val="28"/>
          <w:szCs w:val="28"/>
        </w:rPr>
      </w:pPr>
      <w:r>
        <w:rPr>
          <w:rFonts w:hint="eastAsia" w:ascii="仿宋" w:hAnsi="仿宋" w:eastAsia="仿宋" w:cs="仿宋"/>
          <w:sz w:val="28"/>
          <w:szCs w:val="28"/>
        </w:rPr>
        <w:t>公告成交结果的同时，采购中心</w:t>
      </w:r>
      <w:r>
        <w:rPr>
          <w:rFonts w:hint="eastAsia" w:ascii="仿宋" w:hAnsi="仿宋" w:eastAsia="仿宋" w:cs="仿宋"/>
          <w:bCs/>
          <w:sz w:val="28"/>
          <w:szCs w:val="28"/>
        </w:rPr>
        <w:t>向成交供应商发放成交通知书。</w:t>
      </w:r>
    </w:p>
    <w:p w14:paraId="6B336E6F">
      <w:pPr>
        <w:pStyle w:val="42"/>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成交通知书发出后，采购人不得违法改变成交结果，成交供应商无正当理由不得放弃成交。</w:t>
      </w:r>
    </w:p>
    <w:p w14:paraId="38D627C0">
      <w:pPr>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七、授予合同</w:t>
      </w:r>
    </w:p>
    <w:p w14:paraId="4A16E7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w:t>
      </w:r>
    </w:p>
    <w:p w14:paraId="3C57BC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1.1成交供应商应当在成交通知书发出之日起30日内，按照采购文件确定的事项与采购人签订政府采购合同。</w:t>
      </w:r>
    </w:p>
    <w:p w14:paraId="3C441C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1.2采购文件、成交供应商的响应文件及采购过程中有关澄清、承诺文件均应作为合同附件。</w:t>
      </w:r>
    </w:p>
    <w:p w14:paraId="3E84C6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38D1A30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2.货物和服务的追加、减少和添购</w:t>
      </w:r>
    </w:p>
    <w:p w14:paraId="79D11E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056F218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48D81201">
      <w:pPr>
        <w:adjustRightInd w:val="0"/>
        <w:snapToGrid w:val="0"/>
        <w:spacing w:line="500" w:lineRule="exact"/>
        <w:rPr>
          <w:rFonts w:ascii="仿宋" w:hAnsi="仿宋" w:eastAsia="仿宋" w:cs="仿宋"/>
          <w:sz w:val="28"/>
          <w:szCs w:val="28"/>
        </w:rPr>
      </w:pPr>
      <w:r>
        <w:rPr>
          <w:rFonts w:hint="eastAsia" w:ascii="仿宋" w:hAnsi="仿宋" w:eastAsia="仿宋" w:cs="仿宋"/>
          <w:b/>
          <w:sz w:val="28"/>
          <w:szCs w:val="28"/>
        </w:rPr>
        <w:t>八、其他说明</w:t>
      </w:r>
    </w:p>
    <w:p w14:paraId="03EA5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1.法定代表人为同一个人的两个及两个以上法人，母公司、全资子公司及其控股公司，只能有一家单位参加本项目的响应。</w:t>
      </w:r>
    </w:p>
    <w:p w14:paraId="6D9835C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2.采购人和询价小组不向未成交的响应供应商解释未成交原因，也不公布评审过程中的相关细节。</w:t>
      </w:r>
    </w:p>
    <w:p w14:paraId="0582F3B1">
      <w:pPr>
        <w:adjustRightInd w:val="0"/>
        <w:snapToGrid w:val="0"/>
        <w:spacing w:line="500" w:lineRule="exact"/>
        <w:ind w:firstLine="560" w:firstLineChars="200"/>
        <w:rPr>
          <w:rFonts w:ascii="宋体" w:hAnsi="宋体" w:cs="宋体"/>
          <w:sz w:val="28"/>
          <w:szCs w:val="28"/>
        </w:rPr>
      </w:pPr>
    </w:p>
    <w:p w14:paraId="571E502D">
      <w:pPr>
        <w:adjustRightInd w:val="0"/>
        <w:snapToGrid w:val="0"/>
        <w:spacing w:line="500" w:lineRule="exact"/>
        <w:ind w:firstLine="720"/>
        <w:rPr>
          <w:rFonts w:ascii="宋体" w:hAnsi="宋体" w:cs="宋体"/>
          <w:bCs/>
          <w:sz w:val="36"/>
          <w:szCs w:val="36"/>
        </w:rPr>
      </w:pPr>
      <w:bookmarkStart w:id="55" w:name="_Toc32735"/>
      <w:r>
        <w:rPr>
          <w:rFonts w:hint="eastAsia" w:ascii="宋体" w:hAnsi="宋体" w:cs="宋体"/>
          <w:bCs/>
          <w:sz w:val="36"/>
          <w:szCs w:val="36"/>
        </w:rPr>
        <w:br w:type="page"/>
      </w:r>
    </w:p>
    <w:p w14:paraId="5347E730">
      <w:pPr>
        <w:pStyle w:val="3"/>
        <w:ind w:firstLine="883"/>
      </w:pPr>
      <w:r>
        <w:rPr>
          <w:rFonts w:hint="eastAsia"/>
        </w:rPr>
        <w:t>第三部分  项目需求</w:t>
      </w:r>
    </w:p>
    <w:p w14:paraId="6AA00E19">
      <w:pPr>
        <w:adjustRightInd w:val="0"/>
        <w:snapToGrid w:val="0"/>
        <w:spacing w:line="500" w:lineRule="exact"/>
        <w:ind w:firstLine="562" w:firstLineChars="200"/>
        <w:rPr>
          <w:rFonts w:ascii="仿宋" w:hAnsi="仿宋" w:eastAsia="仿宋" w:cs="仿宋"/>
          <w:b/>
          <w:bCs/>
          <w:sz w:val="28"/>
          <w:szCs w:val="28"/>
        </w:rPr>
      </w:pPr>
      <w:bookmarkStart w:id="56" w:name="_Toc82505662"/>
      <w:r>
        <w:rPr>
          <w:rFonts w:hint="eastAsia" w:ascii="仿宋" w:hAnsi="仿宋" w:eastAsia="仿宋" w:cs="仿宋"/>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9F15E69">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3C253C92">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其内容包含：</w:t>
      </w:r>
    </w:p>
    <w:p w14:paraId="4EEE64CA">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sz w:val="28"/>
          <w:szCs w:val="28"/>
        </w:rPr>
      </w:pPr>
      <w:r>
        <w:rPr>
          <w:rFonts w:hint="eastAsia" w:ascii="Times New Roman" w:hAnsi="Times New Roman" w:eastAsia="楷体_GB2312" w:cs="Times New Roman"/>
          <w:sz w:val="32"/>
          <w:szCs w:val="32"/>
          <w:lang w:val="en-US" w:eastAsia="zh-CN"/>
        </w:rPr>
        <w:t>采购货物清单及参数要求</w:t>
      </w:r>
      <w:r>
        <w:rPr>
          <w:rFonts w:hint="eastAsia" w:ascii="仿宋" w:hAnsi="仿宋" w:eastAsia="仿宋" w:cs="仿宋"/>
          <w:b/>
          <w:sz w:val="28"/>
          <w:szCs w:val="28"/>
        </w:rPr>
        <w:t>：</w:t>
      </w:r>
    </w:p>
    <w:p w14:paraId="10BE9E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（一）货物</w:t>
      </w:r>
      <w:r>
        <w:rPr>
          <w:rFonts w:hint="eastAsia" w:ascii="仿宋" w:hAnsi="仿宋" w:eastAsia="仿宋" w:cs="仿宋"/>
          <w:sz w:val="28"/>
          <w:szCs w:val="28"/>
        </w:rPr>
        <w:t>清单。</w:t>
      </w:r>
    </w:p>
    <w:tbl>
      <w:tblPr>
        <w:tblStyle w:val="18"/>
        <w:tblW w:w="88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
        <w:gridCol w:w="1680"/>
        <w:gridCol w:w="765"/>
        <w:gridCol w:w="825"/>
        <w:gridCol w:w="3540"/>
        <w:gridCol w:w="1320"/>
      </w:tblGrid>
      <w:tr w14:paraId="0EDAE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09052134">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序号</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89601A7">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产品名称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5BC0973">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数量</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EC12943">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单位</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0F34CD7F">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说明</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12CD10D9">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备注</w:t>
            </w:r>
          </w:p>
        </w:tc>
      </w:tr>
      <w:tr w14:paraId="031CB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2DEF1045">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B1A70AF">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防水型多参数测控终端（含安装支架）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99F675C">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1C704C2">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套</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76851C67">
            <w:pPr>
              <w:keepNext w:val="0"/>
              <w:keepLines w:val="0"/>
              <w:widowControl/>
              <w:suppressLineNumbers w:val="0"/>
              <w:ind w:left="0" w:leftChars="0" w:firstLine="0" w:firstLineChars="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具有防爆、防水，耐高湿热、高腐蚀环境；支架需采用304不锈钢材质。</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3D7C66D9">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具体参数见技术要求</w:t>
            </w:r>
          </w:p>
        </w:tc>
      </w:tr>
      <w:tr w14:paraId="10100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08028C1C">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AA6E5E8">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氯离子传感器（含安装支架）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592FFBF">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18F32F7">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套</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5A14685F">
            <w:pPr>
              <w:keepNext w:val="0"/>
              <w:keepLines w:val="0"/>
              <w:widowControl/>
              <w:suppressLineNumbers w:val="0"/>
              <w:ind w:left="0" w:leftChars="0" w:firstLine="0" w:firstLineChars="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量程：氯离子浓度：3~3500 mg/L，PH：5-10，温度：0-40℃；标配电缆长度：10米；支架需采用304不锈钢材质，长度至少6米。</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A7D9517">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具体参数见技术要求</w:t>
            </w:r>
          </w:p>
        </w:tc>
      </w:tr>
      <w:tr w14:paraId="57ED2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26F8633B">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6904D20">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水质监测平台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6904EEF">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E83C40A">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年</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2C22E7B8">
            <w:pPr>
              <w:keepNext w:val="0"/>
              <w:keepLines w:val="0"/>
              <w:widowControl/>
              <w:suppressLineNumbers w:val="0"/>
              <w:ind w:left="0" w:leftChars="0" w:firstLine="0" w:firstLineChars="0"/>
              <w:jc w:val="left"/>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含网页版及手机APP(限安卓、鸿蒙)，平台布置在厂家服务器上；平台功能：实时数据、历史数据、数据图表分析、短信预警等。</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77281E15">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具体参数见技术要求</w:t>
            </w:r>
          </w:p>
        </w:tc>
      </w:tr>
      <w:tr w14:paraId="40074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1D35A9AE">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5159ECD8">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防水型电池盒</w:t>
            </w:r>
            <w:r>
              <w:rPr>
                <w:rFonts w:hint="eastAsia" w:ascii="Times New Roman" w:hAnsi="Times New Roman" w:eastAsia="仿宋_GB2312" w:cs="仿宋_GB2312"/>
                <w:i w:val="0"/>
                <w:iCs w:val="0"/>
                <w:color w:val="auto"/>
                <w:kern w:val="0"/>
                <w:sz w:val="24"/>
                <w:szCs w:val="24"/>
                <w:u w:val="none"/>
                <w:lang w:val="en-US" w:eastAsia="zh-CN" w:bidi="ar"/>
              </w:rPr>
              <w:br w:type="textWrapping"/>
            </w:r>
            <w:r>
              <w:rPr>
                <w:rFonts w:hint="eastAsia" w:ascii="Times New Roman" w:hAnsi="Times New Roman" w:eastAsia="仿宋_GB2312" w:cs="仿宋_GB2312"/>
                <w:i w:val="0"/>
                <w:iCs w:val="0"/>
                <w:color w:val="auto"/>
                <w:kern w:val="0"/>
                <w:sz w:val="24"/>
                <w:szCs w:val="24"/>
                <w:u w:val="none"/>
                <w:lang w:val="en-US" w:eastAsia="zh-CN" w:bidi="ar"/>
              </w:rPr>
              <w:t>（含安装支架）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51C0F01">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EF63B4F">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套</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6065529D">
            <w:pPr>
              <w:keepNext w:val="0"/>
              <w:keepLines w:val="0"/>
              <w:widowControl/>
              <w:suppressLineNumbers w:val="0"/>
              <w:ind w:left="0" w:leftChars="0" w:firstLine="0" w:firstLineChars="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标称容量：30AH；标称电压：12.8V，充电限压：14.6V；充电电流3A；类型：锂电池；标配充电器；支架需采用304不锈钢材质；防护等级：IP68。</w:t>
            </w:r>
          </w:p>
        </w:tc>
        <w:tc>
          <w:tcPr>
            <w:tcW w:w="1320" w:type="dxa"/>
            <w:tcBorders>
              <w:top w:val="single" w:color="000000" w:sz="4" w:space="0"/>
              <w:left w:val="single" w:color="000000" w:sz="4" w:space="0"/>
              <w:bottom w:val="single" w:color="000000" w:sz="4" w:space="0"/>
              <w:right w:val="single" w:color="000000" w:sz="4" w:space="0"/>
            </w:tcBorders>
            <w:noWrap/>
            <w:vAlign w:val="bottom"/>
          </w:tcPr>
          <w:p w14:paraId="7B1F6F32">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r>
      <w:tr w14:paraId="79463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2"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14:paraId="23564F00">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DFCCC0E">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预安装支架</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7B9E0A7">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default" w:ascii="Times New Roman" w:hAnsi="Times New Roman" w:eastAsia="仿宋_GB2312" w:cs="仿宋_GB2312"/>
                <w:i w:val="0"/>
                <w:iCs w:val="0"/>
                <w:color w:val="auto"/>
                <w:kern w:val="0"/>
                <w:sz w:val="24"/>
                <w:szCs w:val="24"/>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846D515">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套</w:t>
            </w:r>
          </w:p>
        </w:tc>
        <w:tc>
          <w:tcPr>
            <w:tcW w:w="3540" w:type="dxa"/>
            <w:tcBorders>
              <w:top w:val="single" w:color="000000" w:sz="4" w:space="0"/>
              <w:left w:val="single" w:color="000000" w:sz="4" w:space="0"/>
              <w:bottom w:val="single" w:color="000000" w:sz="4" w:space="0"/>
              <w:right w:val="single" w:color="000000" w:sz="4" w:space="0"/>
            </w:tcBorders>
            <w:noWrap w:val="0"/>
            <w:vAlign w:val="center"/>
          </w:tcPr>
          <w:p w14:paraId="5B8C09E4">
            <w:pPr>
              <w:keepNext w:val="0"/>
              <w:keepLines w:val="0"/>
              <w:widowControl/>
              <w:suppressLineNumbers w:val="0"/>
              <w:ind w:left="0" w:leftChars="0" w:firstLine="0" w:firstLineChars="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后期拓展点位预装支架，支架需采用304不锈钢材质；每套包含测控终端支架、传感器支架、防水型电池盒支架各1个。</w:t>
            </w:r>
          </w:p>
        </w:tc>
        <w:tc>
          <w:tcPr>
            <w:tcW w:w="1320" w:type="dxa"/>
            <w:tcBorders>
              <w:top w:val="single" w:color="000000" w:sz="4" w:space="0"/>
              <w:left w:val="single" w:color="000000" w:sz="4" w:space="0"/>
              <w:bottom w:val="single" w:color="000000" w:sz="4" w:space="0"/>
              <w:right w:val="single" w:color="000000" w:sz="4" w:space="0"/>
            </w:tcBorders>
            <w:noWrap/>
            <w:vAlign w:val="bottom"/>
          </w:tcPr>
          <w:p w14:paraId="18083F43">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p>
        </w:tc>
      </w:tr>
      <w:tr w14:paraId="24024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8874" w:type="dxa"/>
            <w:gridSpan w:val="6"/>
            <w:tcBorders>
              <w:top w:val="single" w:color="000000" w:sz="4" w:space="0"/>
              <w:left w:val="single" w:color="000000" w:sz="4" w:space="0"/>
              <w:bottom w:val="single" w:color="000000" w:sz="4" w:space="0"/>
              <w:right w:val="single" w:color="000000" w:sz="4" w:space="0"/>
            </w:tcBorders>
            <w:noWrap w:val="0"/>
            <w:vAlign w:val="center"/>
          </w:tcPr>
          <w:p w14:paraId="0A8B8463">
            <w:pPr>
              <w:keepNext w:val="0"/>
              <w:keepLines w:val="0"/>
              <w:widowControl/>
              <w:suppressLineNumbers w:val="0"/>
              <w:ind w:left="0" w:leftChars="0" w:firstLine="0" w:firstLineChars="0"/>
              <w:jc w:val="left"/>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1.包含2年数据流量费用。</w:t>
            </w:r>
          </w:p>
          <w:p w14:paraId="090F0D85">
            <w:pPr>
              <w:keepNext w:val="0"/>
              <w:keepLines w:val="0"/>
              <w:widowControl/>
              <w:suppressLineNumbers w:val="0"/>
              <w:ind w:left="0" w:leftChars="0" w:firstLine="0" w:firstLineChars="0"/>
              <w:jc w:val="left"/>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2.所有产品质保2年，水质监测平台（软件）需终身免费维护、升级，平台使用年限根据招标要求。</w:t>
            </w:r>
          </w:p>
        </w:tc>
      </w:tr>
    </w:tbl>
    <w:p w14:paraId="330593AD">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 w:hAnsi="仿宋" w:eastAsia="仿宋" w:cs="仿宋"/>
          <w:b/>
          <w:bCs/>
          <w:color w:val="auto"/>
          <w:kern w:val="2"/>
          <w:sz w:val="32"/>
          <w:szCs w:val="32"/>
          <w:highlight w:val="none"/>
          <w:lang w:val="en-US" w:eastAsia="zh-CN" w:bidi="ar-SA"/>
        </w:rPr>
      </w:pPr>
      <w:r>
        <w:rPr>
          <w:rFonts w:hint="eastAsia" w:ascii="Times New Roman" w:hAnsi="Times New Roman" w:eastAsia="仿宋_GB2312" w:cs="Times New Roman"/>
          <w:b/>
          <w:bCs/>
          <w:color w:val="auto"/>
          <w:kern w:val="2"/>
          <w:sz w:val="32"/>
          <w:szCs w:val="32"/>
          <w:lang w:val="en-US" w:eastAsia="zh-CN" w:bidi="ar-SA"/>
        </w:rPr>
        <w:t>（二）技术参数：</w:t>
      </w:r>
    </w:p>
    <w:p w14:paraId="3577D131">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1.监控终端</w:t>
      </w:r>
    </w:p>
    <w:p w14:paraId="412E87BE">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用途：集数据采集、数据通信及监控于一体，可支持最多6支MODBUS485传感器（pH、、氯离子、电导率、溶解氧、氨氮、UVCOD、浊度、SS、静压液位、多普勒流量计等），满足在窨井及其他复杂情况下的水质水位监测需求。</w:t>
      </w:r>
    </w:p>
    <w:p w14:paraId="14F91F37">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②功能：</w:t>
      </w:r>
    </w:p>
    <w:p w14:paraId="4243BD42">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1.一体化设计，结构紧凑，提高设备稳定性、可靠性和精度。</w:t>
      </w:r>
    </w:p>
    <w:p w14:paraId="183A322A">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2.监控终端具有防爆认证；具有耐高湿热、高腐蚀环境。</w:t>
      </w:r>
    </w:p>
    <w:p w14:paraId="07BDF5B1">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3.可扩展性：最多可扩展至6路MODBUS信号输入，不同通道支持接入不同波特率传感器输入。</w:t>
      </w:r>
    </w:p>
    <w:p w14:paraId="02C1FD51">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4.设备通过 IP68 防水防尘认证和工作温度范围认证，工作温度至少在-20℃至 85℃ 区间，≥95%Rh 湿度或在水下均能够连续正常工作，内部电路必须具有防雷设计，防浪涌不低于 4000Vdc。</w:t>
      </w:r>
    </w:p>
    <w:p w14:paraId="0D264F19">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5.可选外部5~28VDC电源供电，包括太阳能供电、外部电池供电、常规市电通过电源适配器转换等其他供电方式。</w:t>
      </w:r>
    </w:p>
    <w:p w14:paraId="58E14CC1">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6.设备具有工作状态指示灯，方便现场判断设备的运行状态。</w:t>
      </w:r>
    </w:p>
    <w:p w14:paraId="055CD1D2">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7.主机采用微功耗设计，休眠电流≤50μA。</w:t>
      </w:r>
    </w:p>
    <w:p w14:paraId="3BDC4673">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8.支持现场有线和远程无线多种参数配置方式。</w:t>
      </w:r>
    </w:p>
    <w:p w14:paraId="1D7A3071">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9.支持网络校时，实现全网时钟同步，保持设备时间一致性，从而实现数据时间一致性。</w:t>
      </w:r>
    </w:p>
    <w:p w14:paraId="5AE07EA7">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10.支持三级报警唤醒方式，可自由设置三级报警的对应限制，及采集和上报间隔周期。</w:t>
      </w:r>
    </w:p>
    <w:p w14:paraId="149FF85D">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11.多种工作模式，包括正常模式、预警模式、告警模式。</w:t>
      </w:r>
    </w:p>
    <w:p w14:paraId="26370146">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12.具有参数超限警报功能和仪器故障告警功能。</w:t>
      </w:r>
    </w:p>
    <w:p w14:paraId="4ADCEDD9">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13.数据存储：设备至少可存储30万条监测数据，存储时间为一年以上。</w:t>
      </w:r>
    </w:p>
    <w:p w14:paraId="79BE4DD2">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14.设备可自动补报未上传的历史数据，保证数据连续。</w:t>
      </w:r>
    </w:p>
    <w:p w14:paraId="6DE202FE">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15.提供专门开发的配套配置调试专用软件，便于配置参数。</w:t>
      </w:r>
    </w:p>
    <w:p w14:paraId="0C6486A2">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16.具有自动重启功能，当设备多次未收到服务器数据后自动重启。</w:t>
      </w:r>
    </w:p>
    <w:p w14:paraId="6E161370">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17.采用定制天线，信号接受能力强，可适用于窨井内，半地下室等信号差的场合。</w:t>
      </w:r>
    </w:p>
    <w:p w14:paraId="732C17C2">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18.安装快捷方便，无需下井操作，易拆卸；</w:t>
      </w:r>
    </w:p>
    <w:p w14:paraId="0D7375A7">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③主机技术参数：</w:t>
      </w:r>
    </w:p>
    <w:p w14:paraId="54BE5BFA">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通讯协议：无线通讯方式： NB-IoT: TCP；通讯协议：标准MODBUS RS485。</w:t>
      </w:r>
    </w:p>
    <w:p w14:paraId="1243D6FA">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电源：采用一次性锂亚电池，容量不低于114AH。</w:t>
      </w:r>
    </w:p>
    <w:p w14:paraId="1EDE128A">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支持外接电源供电，外部扩展电压：5-28V都可接入为设备供电。</w:t>
      </w:r>
    </w:p>
    <w:p w14:paraId="29C581FC">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硬件接口：一个USB调试接口；三个传感器接口，最多支持6路MODBUS RS485传感器，一个外部电源供电接口。</w:t>
      </w:r>
    </w:p>
    <w:p w14:paraId="2BB655BC">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对外供电：电压：5VDC或12VDC二选一。</w:t>
      </w:r>
    </w:p>
    <w:p w14:paraId="2F849CF8">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防护等级：IP68。</w:t>
      </w:r>
    </w:p>
    <w:p w14:paraId="4BEB8F01">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工作温度：-15 ~65 ℃（不结冰）。</w:t>
      </w:r>
    </w:p>
    <w:p w14:paraId="524FFE5A">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存储温度：-15 ~65 ℃。</w:t>
      </w:r>
    </w:p>
    <w:p w14:paraId="35D922DC">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2.氯离子传感器</w:t>
      </w:r>
    </w:p>
    <w:p w14:paraId="221A57CE">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①用途：用于实时在线监测、显示、传输水溶液中的氯离子（CL-）浓度。</w:t>
      </w:r>
    </w:p>
    <w:p w14:paraId="4FFD5E91">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②传感器：</w:t>
      </w:r>
    </w:p>
    <w:p w14:paraId="785A1829">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测量原理：离子选择电极法。</w:t>
      </w:r>
    </w:p>
    <w:p w14:paraId="14EC44C7">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传感器用于检测氯离子浓度且标配PH及温度检测。</w:t>
      </w:r>
    </w:p>
    <w:p w14:paraId="6308B498">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测量范围：</w:t>
      </w:r>
    </w:p>
    <w:p w14:paraId="5EDCCD32">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氯离子（CL-）：3~3500 mg/L；</w:t>
      </w:r>
    </w:p>
    <w:p w14:paraId="377CCC37">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PH：5-10；</w:t>
      </w:r>
    </w:p>
    <w:p w14:paraId="22CE788E">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温度：0-40℃。</w:t>
      </w:r>
    </w:p>
    <w:p w14:paraId="3119C311">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测量精度：</w:t>
      </w:r>
    </w:p>
    <w:p w14:paraId="0E6EAF77">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氯离子（CL-）：测量值的±10%或± 0.2 mg/L；</w:t>
      </w:r>
    </w:p>
    <w:p w14:paraId="27E0CB34">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温度：±0.5℃；</w:t>
      </w:r>
    </w:p>
    <w:p w14:paraId="5F7A9494">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pH：±0.1pH。</w:t>
      </w:r>
    </w:p>
    <w:p w14:paraId="30C3C965">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重复性：±5%或0.2mg/l取大者。</w:t>
      </w:r>
    </w:p>
    <w:p w14:paraId="21DCB9C0">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防水等级：IP68/NEMA6P。</w:t>
      </w:r>
    </w:p>
    <w:p w14:paraId="7E43CEFF">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存储温度：0到50℃（非冰冻）。</w:t>
      </w:r>
    </w:p>
    <w:p w14:paraId="4EDE8CF8">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测量环境温度：0到40℃（非冰冻）。</w:t>
      </w:r>
    </w:p>
    <w:p w14:paraId="119C6E9C">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传感器电源正负极反接保护。</w:t>
      </w:r>
    </w:p>
    <w:p w14:paraId="6861EF6A">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传感器RS485 A/B端错接电源保护。</w:t>
      </w:r>
    </w:p>
    <w:p w14:paraId="60A9E481">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数字化传感器，抗干扰能力强，传输距离远。</w:t>
      </w:r>
    </w:p>
    <w:p w14:paraId="06AE8758">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3.水质监测平台：</w:t>
      </w:r>
    </w:p>
    <w:p w14:paraId="541DC5BC">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电脑端用于实时数据显示、数据存储、历史数据分析、数据图表分析。手机端APP（限安卓、鸿蒙）包含电脑端功能，同时具有短信预警功能，可至少安装5台以上安卓系统手机。</w:t>
      </w:r>
    </w:p>
    <w:p w14:paraId="4B3ECA51">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二、商务部分要求：</w:t>
      </w:r>
    </w:p>
    <w:p w14:paraId="6EEB3BF3">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质量要求：供应商须提供符合采购需求、从未使用过的全新设备，产品质量符合招标文件要求、行业及国家标准（供货时提供相关证明材料、有效产品合格证），经试运行满足使用要求并最终验收合格。供应商应踏勘现场，确保所供设备满足现场使用需要，因未认真复核导致设备无法满足按采购方要求的，采购方有权更换相应设备。</w:t>
      </w:r>
    </w:p>
    <w:p w14:paraId="32D728DF">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质保要求：本项目所有货物必须提供二年全免费质保（配件+人工）及售后服务。质保期内成交供应商应免费维修，质保期外的维修收费按国家和供应商的相关规定办理。所有设备质保时间为自验收合格之日起计。</w:t>
      </w:r>
    </w:p>
    <w:p w14:paraId="7F89A127">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售后服务要求：在质保期内，同一商品、同一质量问题连续两次维修仍无法正常使用，供应商无条件给予全套更新。在免费质保期内，供应商在接到用户单位电话通知后，须8小时之内上门服务并负责修复。如需更换货物或送修，必须在12小时内提供备用货物，并在5个工作日内负责维修完毕并送至用户单位处。供应商超时或未在规定的时间内及时处理故障，每次罚1000元。</w:t>
      </w:r>
    </w:p>
    <w:p w14:paraId="7869763F">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服务时间：中标通知书发出后30日内签订合同，供应商合同签订后，接采购单位书面通知30日历天内完成供货及安装调试，若供应商未按照合同约定时间交货的，且未及时以书面形式向采购人提交延误原因，又无正当理由的，每推迟一天罚1000元，推迟7天及以上的则采购单位有权罚没所有履约保证金。</w:t>
      </w:r>
    </w:p>
    <w:p w14:paraId="26604D17">
      <w:pPr>
        <w:adjustRightInd w:val="0"/>
        <w:snapToGrid w:val="0"/>
        <w:spacing w:line="500" w:lineRule="exac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5.服务地点：启东市吕四污水处理厂</w:t>
      </w:r>
      <w:r>
        <w:rPr>
          <w:rFonts w:hint="eastAsia" w:ascii="仿宋" w:hAnsi="仿宋" w:eastAsia="仿宋" w:cs="仿宋"/>
          <w:sz w:val="28"/>
          <w:szCs w:val="28"/>
          <w:lang w:val="en-US" w:eastAsia="en-US"/>
        </w:rPr>
        <w:t>。</w:t>
      </w:r>
    </w:p>
    <w:p w14:paraId="307EC75C">
      <w:pPr>
        <w:adjustRightInd w:val="0"/>
        <w:snapToGrid w:val="0"/>
        <w:spacing w:line="500" w:lineRule="exact"/>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rPr>
        <w:t>三、成交原则：</w:t>
      </w:r>
      <w:r>
        <w:rPr>
          <w:rFonts w:hint="eastAsia" w:ascii="仿宋" w:hAnsi="仿宋" w:eastAsia="仿宋" w:cs="仿宋"/>
          <w:sz w:val="28"/>
          <w:szCs w:val="28"/>
          <w:lang w:val="en-US" w:eastAsia="zh-CN"/>
        </w:rPr>
        <w:t>符合采购需求且以有效报价中的最低报价者成交。</w:t>
      </w:r>
    </w:p>
    <w:p w14:paraId="0AEE71F3">
      <w:pPr>
        <w:adjustRightInd w:val="0"/>
        <w:snapToGrid w:val="0"/>
        <w:spacing w:line="500" w:lineRule="exact"/>
        <w:ind w:firstLine="560" w:firstLineChars="200"/>
        <w:rPr>
          <w:rFonts w:hint="eastAsia" w:ascii="仿宋" w:hAnsi="仿宋" w:eastAsia="仿宋" w:cs="仿宋"/>
          <w:sz w:val="28"/>
          <w:szCs w:val="28"/>
          <w:lang w:val="en-US" w:eastAsia="en-US"/>
        </w:rPr>
      </w:pPr>
      <w:r>
        <w:rPr>
          <w:rFonts w:hint="eastAsia" w:ascii="仿宋" w:hAnsi="仿宋" w:eastAsia="仿宋" w:cs="仿宋"/>
          <w:sz w:val="28"/>
          <w:szCs w:val="28"/>
          <w:lang w:val="en-US" w:eastAsia="zh-CN"/>
        </w:rPr>
        <w:t>当排名第一的中标候选人放弃中标、因不可抗力不能履行合同、不按照招标文件要求提交履约保证金，或者被查实存在影响中标结果的违法行为等情形，不符合中标条件的，采购人依法重新招标。</w:t>
      </w:r>
    </w:p>
    <w:p w14:paraId="396E01C4">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四、合同签订：</w:t>
      </w:r>
    </w:p>
    <w:p w14:paraId="319FD3CE">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成交供应商应在成交通知书发出之日起三十日内，按照采购文件确定的事项与采购人签订政府采购合同。</w:t>
      </w:r>
    </w:p>
    <w:p w14:paraId="7BCBCB0E">
      <w:pPr>
        <w:adjustRightInd w:val="0"/>
        <w:snapToGrid w:val="0"/>
        <w:spacing w:line="500" w:lineRule="exact"/>
        <w:ind w:firstLine="562" w:firstLineChars="200"/>
        <w:rPr>
          <w:rFonts w:hint="eastAsia" w:ascii="仿宋" w:hAnsi="仿宋" w:eastAsia="仿宋" w:cs="仿宋"/>
          <w:sz w:val="28"/>
          <w:szCs w:val="28"/>
          <w:lang w:val="en-US" w:eastAsia="en-US"/>
        </w:rPr>
      </w:pPr>
      <w:r>
        <w:rPr>
          <w:rFonts w:hint="eastAsia" w:ascii="仿宋" w:hAnsi="仿宋" w:eastAsia="仿宋" w:cs="仿宋"/>
          <w:b/>
          <w:bCs/>
          <w:sz w:val="28"/>
          <w:szCs w:val="28"/>
        </w:rPr>
        <w:t>五、</w:t>
      </w:r>
      <w:r>
        <w:rPr>
          <w:rFonts w:hint="eastAsia" w:ascii="仿宋" w:hAnsi="仿宋" w:eastAsia="仿宋" w:cs="仿宋"/>
          <w:b/>
          <w:bCs w:val="0"/>
          <w:sz w:val="28"/>
          <w:szCs w:val="28"/>
          <w:lang w:val="en-US" w:eastAsia="en-US"/>
        </w:rPr>
        <w:t>付款方式</w:t>
      </w:r>
      <w:r>
        <w:rPr>
          <w:rFonts w:hint="eastAsia" w:ascii="仿宋" w:hAnsi="仿宋" w:eastAsia="仿宋" w:cs="仿宋"/>
          <w:bCs/>
          <w:sz w:val="28"/>
          <w:szCs w:val="28"/>
          <w:lang w:val="zh-CN" w:eastAsia="en-US"/>
        </w:rPr>
        <w:t>：</w:t>
      </w:r>
      <w:r>
        <w:rPr>
          <w:rFonts w:hint="eastAsia" w:ascii="Times New Roman" w:hAnsi="Times New Roman" w:eastAsia="楷体_GB2312" w:cs="Times New Roman"/>
          <w:sz w:val="32"/>
          <w:szCs w:val="32"/>
          <w:lang w:val="en-US" w:eastAsia="zh-CN"/>
        </w:rPr>
        <w:t>：</w:t>
      </w:r>
      <w:r>
        <w:rPr>
          <w:rFonts w:hint="eastAsia" w:ascii="仿宋" w:hAnsi="仿宋" w:eastAsia="仿宋" w:cs="仿宋"/>
          <w:sz w:val="28"/>
          <w:szCs w:val="28"/>
          <w:lang w:val="en-US" w:eastAsia="zh-CN"/>
        </w:rPr>
        <w:t>货物安装调试完毕验收合格并在无故障运行三个月后付合同价的90%，余款10%于质保期满（从验收合格之日算起）无质量问题后付清。</w:t>
      </w:r>
    </w:p>
    <w:p w14:paraId="3AB4A43D">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注:供应商申请付款的程序应符合采购人的财务规定，支付费用前要求供应商向采购人提供相应发票。</w:t>
      </w:r>
    </w:p>
    <w:p w14:paraId="6E9EDF5D">
      <w:pPr>
        <w:adjustRightInd w:val="0"/>
        <w:snapToGrid w:val="0"/>
        <w:spacing w:line="490" w:lineRule="exact"/>
        <w:ind w:firstLine="562" w:firstLineChars="200"/>
        <w:rPr>
          <w:rFonts w:ascii="仿宋" w:hAnsi="仿宋" w:eastAsia="仿宋" w:cs="仿宋"/>
          <w:b/>
          <w:bCs/>
          <w:sz w:val="28"/>
          <w:szCs w:val="28"/>
          <w:lang w:val="zh-CN"/>
        </w:rPr>
      </w:pPr>
      <w:r>
        <w:rPr>
          <w:rFonts w:hint="eastAsia" w:ascii="仿宋" w:hAnsi="仿宋" w:eastAsia="仿宋" w:cs="仿宋"/>
          <w:b/>
          <w:bCs/>
          <w:sz w:val="28"/>
          <w:szCs w:val="28"/>
        </w:rPr>
        <w:t>七</w:t>
      </w:r>
      <w:r>
        <w:rPr>
          <w:rFonts w:hint="eastAsia" w:ascii="仿宋" w:hAnsi="仿宋" w:eastAsia="仿宋" w:cs="仿宋"/>
          <w:b/>
          <w:bCs/>
          <w:sz w:val="28"/>
          <w:szCs w:val="28"/>
          <w:lang w:val="zh-CN"/>
        </w:rPr>
        <w:t>、保证金：</w:t>
      </w:r>
    </w:p>
    <w:bookmarkEnd w:id="56"/>
    <w:p w14:paraId="7B59437B">
      <w:pPr>
        <w:adjustRightInd w:val="0"/>
        <w:snapToGrid w:val="0"/>
        <w:spacing w:line="490" w:lineRule="exact"/>
        <w:ind w:firstLine="560" w:firstLineChars="200"/>
        <w:rPr>
          <w:rFonts w:ascii="仿宋" w:hAnsi="仿宋" w:eastAsia="仿宋" w:cs="仿宋"/>
          <w:sz w:val="28"/>
          <w:szCs w:val="28"/>
        </w:rPr>
      </w:pPr>
      <w:bookmarkStart w:id="57" w:name="_Toc82505665"/>
      <w:r>
        <w:rPr>
          <w:rFonts w:hint="eastAsia" w:ascii="仿宋" w:hAnsi="仿宋" w:eastAsia="仿宋" w:cs="仿宋"/>
          <w:sz w:val="28"/>
          <w:szCs w:val="28"/>
        </w:rPr>
        <w:t>1、投标保证金:本项目免收投标保证金。</w:t>
      </w:r>
    </w:p>
    <w:p w14:paraId="70768014">
      <w:pPr>
        <w:adjustRightInd w:val="0"/>
        <w:snapToGrid w:val="0"/>
        <w:spacing w:line="5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履约保证金：中标单位应在签订合同前向采购人缴纳履约保证金，履约保证金为中标价的10%，形式：应当以支票、汇票或者金融机构出具的保函等非现金形式提交。成交供应商凭成交通知书与采购单位签订合同。超期或未有协商，则视为自动放弃成交资格，并列入城投集团不良信用库。</w:t>
      </w:r>
    </w:p>
    <w:p w14:paraId="6DCA1A8C">
      <w:pPr>
        <w:adjustRightInd w:val="0"/>
        <w:snapToGrid w:val="0"/>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履约保证金在项目全部完成并验收合格后一个月内由采购单位返还。</w:t>
      </w:r>
    </w:p>
    <w:p w14:paraId="02AFD5D3">
      <w:pPr>
        <w:spacing w:line="560" w:lineRule="exact"/>
        <w:ind w:firstLine="560" w:firstLineChars="200"/>
        <w:rPr>
          <w:rFonts w:hint="eastAsia" w:ascii="仿宋" w:hAnsi="仿宋" w:eastAsia="仿宋" w:cs="仿宋"/>
          <w:sz w:val="28"/>
          <w:szCs w:val="28"/>
          <w:lang w:val="en-US" w:eastAsia="zh-CN"/>
        </w:rPr>
      </w:pPr>
    </w:p>
    <w:p w14:paraId="502544EC">
      <w:pPr>
        <w:spacing w:line="560" w:lineRule="exact"/>
        <w:ind w:firstLine="560" w:firstLineChars="200"/>
        <w:rPr>
          <w:rFonts w:hint="eastAsia" w:ascii="仿宋" w:hAnsi="仿宋" w:eastAsia="仿宋" w:cs="仿宋"/>
          <w:sz w:val="28"/>
          <w:szCs w:val="28"/>
        </w:rPr>
      </w:pPr>
    </w:p>
    <w:p w14:paraId="4E926239"/>
    <w:p w14:paraId="4E2B4975"/>
    <w:p w14:paraId="64AC0C2F"/>
    <w:p w14:paraId="468EA2AB"/>
    <w:p w14:paraId="10F7A36B"/>
    <w:p w14:paraId="14CE93E5"/>
    <w:p w14:paraId="5CB696F0"/>
    <w:p w14:paraId="3063300D"/>
    <w:p w14:paraId="3218C046"/>
    <w:p w14:paraId="61400CEA"/>
    <w:p w14:paraId="2C56B981"/>
    <w:p w14:paraId="1E261CDA"/>
    <w:p w14:paraId="36159840"/>
    <w:p w14:paraId="03D02930"/>
    <w:p w14:paraId="2A7E2799"/>
    <w:p w14:paraId="2E507B4C"/>
    <w:p w14:paraId="41B5D7DF"/>
    <w:p w14:paraId="385E0835"/>
    <w:p w14:paraId="027FEF46"/>
    <w:p w14:paraId="318BBAB2"/>
    <w:p w14:paraId="57019AF9">
      <w:pPr>
        <w:pStyle w:val="3"/>
        <w:ind w:firstLine="883"/>
      </w:pPr>
    </w:p>
    <w:p w14:paraId="3786D6AD"/>
    <w:p w14:paraId="588EB0D1"/>
    <w:p w14:paraId="0B7330C3"/>
    <w:p w14:paraId="393212C9"/>
    <w:p w14:paraId="1252CCF1"/>
    <w:p w14:paraId="290FB28B"/>
    <w:p w14:paraId="26CDE396"/>
    <w:p w14:paraId="47172A25"/>
    <w:p w14:paraId="500943D9"/>
    <w:p w14:paraId="287C6B4A"/>
    <w:p w14:paraId="10A5FCF3"/>
    <w:p w14:paraId="53E4FA3A">
      <w:pPr>
        <w:ind w:firstLine="420"/>
      </w:pPr>
    </w:p>
    <w:p w14:paraId="41B66A63">
      <w:pPr>
        <w:pStyle w:val="3"/>
        <w:ind w:firstLine="883"/>
      </w:pPr>
      <w:r>
        <w:rPr>
          <w:rFonts w:hint="eastAsia"/>
        </w:rPr>
        <w:t>第四部分  响应文件</w:t>
      </w:r>
      <w:bookmarkEnd w:id="55"/>
      <w:r>
        <w:rPr>
          <w:rFonts w:hint="eastAsia"/>
        </w:rPr>
        <w:t>组成</w:t>
      </w:r>
      <w:bookmarkEnd w:id="57"/>
    </w:p>
    <w:p w14:paraId="0CFE80F2">
      <w:pPr>
        <w:adjustRightInd w:val="0"/>
        <w:snapToGrid w:val="0"/>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响应文件必须按照以下格式及要求进行制作、签署、密封和提交。（以下内容必须全部提供，</w:t>
      </w:r>
      <w:r>
        <w:rPr>
          <w:rFonts w:hint="eastAsia" w:ascii="仿宋" w:hAnsi="仿宋" w:eastAsia="仿宋" w:cs="仿宋"/>
          <w:b/>
          <w:bCs/>
          <w:sz w:val="28"/>
          <w:szCs w:val="28"/>
          <w:lang w:val="zh-CN"/>
        </w:rPr>
        <w:t>并全部加盖</w:t>
      </w:r>
      <w:r>
        <w:rPr>
          <w:rFonts w:hint="eastAsia" w:ascii="仿宋" w:hAnsi="仿宋" w:eastAsia="仿宋" w:cs="仿宋"/>
          <w:b/>
          <w:bCs/>
          <w:sz w:val="28"/>
          <w:szCs w:val="28"/>
        </w:rPr>
        <w:t>报价单位公章</w:t>
      </w:r>
      <w:r>
        <w:rPr>
          <w:rFonts w:hint="eastAsia" w:ascii="仿宋" w:hAnsi="仿宋" w:eastAsia="仿宋" w:cs="仿宋"/>
          <w:b/>
          <w:bCs/>
          <w:sz w:val="28"/>
          <w:szCs w:val="28"/>
          <w:lang w:val="zh-CN"/>
        </w:rPr>
        <w:t>。</w:t>
      </w:r>
      <w:r>
        <w:rPr>
          <w:rFonts w:hint="eastAsia" w:ascii="仿宋" w:hAnsi="仿宋" w:eastAsia="仿宋" w:cs="仿宋"/>
          <w:b/>
          <w:bCs/>
          <w:sz w:val="28"/>
          <w:szCs w:val="28"/>
        </w:rPr>
        <w:t>响应文件格式中要求签字的不可打印填写，否则视为无效响应。）</w:t>
      </w:r>
    </w:p>
    <w:p w14:paraId="6A4A4C9E">
      <w:pPr>
        <w:adjustRightInd w:val="0"/>
        <w:snapToGrid w:val="0"/>
        <w:spacing w:line="50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w:t>
      </w:r>
      <w:r>
        <w:rPr>
          <w:rFonts w:hint="eastAsia" w:ascii="仿宋" w:hAnsi="仿宋" w:eastAsia="仿宋" w:cs="仿宋"/>
          <w:kern w:val="0"/>
          <w:sz w:val="28"/>
          <w:szCs w:val="28"/>
        </w:rPr>
        <w:t>投标人符合《政府采购法》第二十二条规定条件的声明函</w:t>
      </w:r>
      <w:r>
        <w:rPr>
          <w:rFonts w:hint="eastAsia" w:ascii="仿宋" w:hAnsi="仿宋" w:eastAsia="仿宋" w:cs="仿宋"/>
          <w:kern w:val="0"/>
          <w:sz w:val="28"/>
          <w:szCs w:val="28"/>
          <w:lang w:val="zh-CN"/>
        </w:rPr>
        <w:t>（格式见附件1）；</w:t>
      </w:r>
    </w:p>
    <w:p w14:paraId="59605249">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2.法定代表人身份证明书、法定代表人身份证复印件（格式见附件2）；</w:t>
      </w:r>
    </w:p>
    <w:p w14:paraId="4C246CF8">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3.法定代表人授权委托书、授权委托人（即代理人）身份证复印件（格式见附件3</w:t>
      </w:r>
      <w:r>
        <w:rPr>
          <w:rFonts w:hint="eastAsia" w:ascii="仿宋" w:hAnsi="仿宋" w:eastAsia="仿宋" w:cs="仿宋"/>
          <w:bCs/>
          <w:sz w:val="28"/>
        </w:rPr>
        <w:t>，</w:t>
      </w:r>
      <w:r>
        <w:rPr>
          <w:rFonts w:hint="eastAsia" w:ascii="仿宋" w:hAnsi="仿宋" w:eastAsia="仿宋" w:cs="仿宋"/>
          <w:kern w:val="0"/>
          <w:sz w:val="28"/>
          <w:szCs w:val="28"/>
          <w:lang w:val="zh-CN"/>
        </w:rPr>
        <w:t>法定代表人参加的，无需提供授权委托书</w:t>
      </w:r>
      <w:r>
        <w:rPr>
          <w:rFonts w:hint="eastAsia" w:ascii="仿宋" w:hAnsi="仿宋" w:eastAsia="仿宋" w:cs="仿宋"/>
          <w:sz w:val="28"/>
          <w:szCs w:val="28"/>
        </w:rPr>
        <w:t>）；</w:t>
      </w:r>
    </w:p>
    <w:p w14:paraId="01EFBFBA">
      <w:pPr>
        <w:adjustRightInd w:val="0"/>
        <w:snapToGrid w:val="0"/>
        <w:spacing w:line="50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4.</w:t>
      </w:r>
      <w:r>
        <w:rPr>
          <w:rFonts w:hint="eastAsia" w:ascii="仿宋" w:hAnsi="仿宋" w:eastAsia="仿宋" w:cs="仿宋"/>
          <w:sz w:val="28"/>
          <w:szCs w:val="28"/>
          <w:lang w:val="zh-CN"/>
        </w:rPr>
        <w:t>有效</w:t>
      </w:r>
      <w:r>
        <w:rPr>
          <w:rFonts w:hint="eastAsia" w:ascii="仿宋" w:hAnsi="仿宋" w:eastAsia="仿宋" w:cs="仿宋"/>
          <w:kern w:val="0"/>
          <w:sz w:val="28"/>
          <w:szCs w:val="28"/>
          <w:lang w:val="zh-CN"/>
        </w:rPr>
        <w:t>的营业执照</w:t>
      </w:r>
      <w:r>
        <w:rPr>
          <w:rFonts w:hint="eastAsia" w:ascii="仿宋" w:hAnsi="仿宋" w:eastAsia="仿宋" w:cs="仿宋"/>
          <w:kern w:val="0"/>
          <w:sz w:val="28"/>
          <w:szCs w:val="28"/>
        </w:rPr>
        <w:t>复印件</w:t>
      </w:r>
      <w:r>
        <w:rPr>
          <w:rFonts w:hint="eastAsia" w:ascii="仿宋" w:hAnsi="仿宋" w:eastAsia="仿宋" w:cs="仿宋"/>
          <w:kern w:val="0"/>
          <w:sz w:val="28"/>
          <w:szCs w:val="28"/>
          <w:lang w:val="zh-CN"/>
        </w:rPr>
        <w:t>；</w:t>
      </w:r>
    </w:p>
    <w:p w14:paraId="20467A4A">
      <w:pPr>
        <w:adjustRightInd w:val="0"/>
        <w:snapToGrid w:val="0"/>
        <w:spacing w:line="500" w:lineRule="exact"/>
        <w:ind w:firstLine="560" w:firstLineChars="200"/>
        <w:rPr>
          <w:rFonts w:hint="eastAsia" w:ascii="仿宋" w:hAnsi="仿宋" w:eastAsia="仿宋" w:cs="仿宋"/>
          <w:kern w:val="0"/>
          <w:sz w:val="28"/>
          <w:szCs w:val="28"/>
          <w:lang w:val="zh-CN"/>
        </w:rPr>
      </w:pPr>
      <w:r>
        <w:rPr>
          <w:rFonts w:hint="eastAsia" w:ascii="仿宋" w:hAnsi="仿宋" w:eastAsia="仿宋" w:cs="仿宋"/>
          <w:kern w:val="0"/>
          <w:sz w:val="28"/>
          <w:szCs w:val="28"/>
        </w:rPr>
        <w:t>5</w:t>
      </w:r>
      <w:r>
        <w:rPr>
          <w:rFonts w:hint="eastAsia" w:ascii="仿宋" w:hAnsi="仿宋" w:eastAsia="仿宋" w:cs="仿宋"/>
          <w:kern w:val="0"/>
          <w:sz w:val="28"/>
          <w:szCs w:val="28"/>
          <w:lang w:val="zh-CN"/>
        </w:rPr>
        <w:t>.</w:t>
      </w:r>
      <w:r>
        <w:rPr>
          <w:rFonts w:hint="eastAsia" w:ascii="仿宋" w:hAnsi="仿宋" w:eastAsia="仿宋" w:cs="仿宋"/>
          <w:sz w:val="28"/>
          <w:szCs w:val="28"/>
        </w:rPr>
        <w:t>质保承诺书（格式见附件4）</w:t>
      </w:r>
      <w:r>
        <w:rPr>
          <w:rFonts w:hint="eastAsia" w:ascii="仿宋" w:hAnsi="仿宋" w:eastAsia="仿宋" w:cs="仿宋"/>
          <w:kern w:val="0"/>
          <w:sz w:val="28"/>
          <w:szCs w:val="28"/>
          <w:lang w:val="zh-CN"/>
        </w:rPr>
        <w:t>；</w:t>
      </w:r>
    </w:p>
    <w:p w14:paraId="515F9D68">
      <w:pPr>
        <w:pStyle w:val="13"/>
        <w:spacing w:line="50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.参加政府采购活动前 3 年内在经营活动中没有重大违法记录和失信记录的书面声明（格式见附件5）；</w:t>
      </w:r>
    </w:p>
    <w:p w14:paraId="3ECCBA1D">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.报价总表及分项报价明细表（格式见附件6、7）；</w:t>
      </w:r>
    </w:p>
    <w:p w14:paraId="3BF3902A">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8</w:t>
      </w:r>
      <w:r>
        <w:rPr>
          <w:rFonts w:hint="eastAsia" w:ascii="仿宋" w:hAnsi="仿宋" w:eastAsia="仿宋" w:cs="仿宋"/>
          <w:sz w:val="28"/>
          <w:szCs w:val="28"/>
        </w:rPr>
        <w:t>.本项目采购文件要求响应供应商提供的和响应供应商认为与本项目有关的并可以提供的其他材料。</w:t>
      </w:r>
    </w:p>
    <w:p w14:paraId="51270389">
      <w:pPr>
        <w:adjustRightInd w:val="0"/>
        <w:snapToGrid w:val="0"/>
        <w:spacing w:line="500" w:lineRule="exact"/>
        <w:ind w:firstLine="562" w:firstLineChars="200"/>
        <w:jc w:val="left"/>
        <w:rPr>
          <w:rFonts w:ascii="仿宋" w:hAnsi="仿宋" w:eastAsia="仿宋" w:cs="仿宋"/>
          <w:lang w:val="zh-CN"/>
        </w:rPr>
      </w:pPr>
      <w:r>
        <w:rPr>
          <w:rFonts w:hint="eastAsia" w:ascii="仿宋" w:hAnsi="仿宋" w:eastAsia="仿宋" w:cs="仿宋"/>
          <w:b/>
          <w:bCs/>
          <w:sz w:val="28"/>
          <w:szCs w:val="28"/>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14:paraId="183FB2EB">
      <w:pPr>
        <w:pStyle w:val="2"/>
        <w:ind w:firstLine="420"/>
        <w:rPr>
          <w:rFonts w:ascii="宋体" w:hAnsi="宋体" w:cs="宋体"/>
          <w:lang w:val="zh-CN"/>
        </w:rPr>
      </w:pPr>
    </w:p>
    <w:p w14:paraId="418DBAB4">
      <w:pPr>
        <w:ind w:firstLine="640"/>
        <w:rPr>
          <w:rFonts w:ascii="宋体" w:hAnsi="宋体" w:cs="宋体"/>
          <w:kern w:val="0"/>
          <w:sz w:val="32"/>
          <w:szCs w:val="32"/>
          <w:lang w:val="zh-CN"/>
        </w:rPr>
      </w:pPr>
      <w:r>
        <w:rPr>
          <w:rFonts w:hint="eastAsia" w:ascii="宋体" w:hAnsi="宋体" w:cs="宋体"/>
          <w:kern w:val="0"/>
          <w:sz w:val="32"/>
          <w:szCs w:val="32"/>
          <w:lang w:val="zh-CN"/>
        </w:rPr>
        <w:br w:type="page"/>
      </w:r>
    </w:p>
    <w:p w14:paraId="1E01DEC6">
      <w:pPr>
        <w:snapToGrid w:val="0"/>
        <w:spacing w:line="400" w:lineRule="exact"/>
        <w:contextualSpacing/>
        <w:rPr>
          <w:rFonts w:ascii="仿宋" w:hAnsi="仿宋" w:eastAsia="仿宋" w:cs="仿宋"/>
          <w:kern w:val="0"/>
          <w:sz w:val="32"/>
          <w:szCs w:val="32"/>
          <w:lang w:val="zh-CN"/>
        </w:rPr>
      </w:pPr>
      <w:r>
        <w:rPr>
          <w:rFonts w:hint="eastAsia" w:ascii="仿宋" w:hAnsi="仿宋" w:eastAsia="仿宋" w:cs="仿宋"/>
          <w:kern w:val="0"/>
          <w:sz w:val="32"/>
          <w:szCs w:val="32"/>
          <w:lang w:val="zh-CN"/>
        </w:rPr>
        <w:t>附件1</w:t>
      </w:r>
    </w:p>
    <w:p w14:paraId="0EF8988F">
      <w:pPr>
        <w:ind w:firstLine="602"/>
        <w:jc w:val="center"/>
        <w:rPr>
          <w:rFonts w:ascii="仿宋" w:hAnsi="仿宋" w:eastAsia="仿宋" w:cs="仿宋"/>
          <w:b/>
          <w:sz w:val="30"/>
          <w:szCs w:val="30"/>
        </w:rPr>
      </w:pPr>
    </w:p>
    <w:p w14:paraId="397A0FA3">
      <w:pPr>
        <w:ind w:firstLine="602"/>
        <w:jc w:val="center"/>
        <w:rPr>
          <w:rFonts w:ascii="仿宋" w:hAnsi="仿宋" w:eastAsia="仿宋" w:cs="仿宋"/>
          <w:b/>
          <w:sz w:val="30"/>
          <w:szCs w:val="30"/>
        </w:rPr>
      </w:pPr>
      <w:r>
        <w:rPr>
          <w:rFonts w:hint="eastAsia" w:ascii="仿宋" w:hAnsi="仿宋" w:eastAsia="仿宋" w:cs="仿宋"/>
          <w:b/>
          <w:sz w:val="30"/>
          <w:szCs w:val="30"/>
        </w:rPr>
        <w:t>投标人符合《政府采购法》第二十二条规定条件的声明函</w:t>
      </w:r>
    </w:p>
    <w:p w14:paraId="6A92C352">
      <w:pPr>
        <w:spacing w:line="460" w:lineRule="exact"/>
        <w:ind w:firstLine="883"/>
        <w:rPr>
          <w:rFonts w:ascii="仿宋" w:hAnsi="仿宋" w:eastAsia="仿宋" w:cs="仿宋"/>
          <w:b/>
          <w:bCs/>
          <w:sz w:val="44"/>
          <w:szCs w:val="44"/>
        </w:rPr>
      </w:pPr>
    </w:p>
    <w:p w14:paraId="0B39FA67">
      <w:pPr>
        <w:spacing w:line="520" w:lineRule="exact"/>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1"/>
          <w:u w:val="single"/>
        </w:rPr>
        <w:t>________________ _</w:t>
      </w:r>
      <w:r>
        <w:rPr>
          <w:rFonts w:hint="eastAsia" w:ascii="仿宋" w:hAnsi="仿宋" w:eastAsia="仿宋" w:cs="仿宋"/>
          <w:bCs/>
          <w:sz w:val="24"/>
          <w:szCs w:val="21"/>
        </w:rPr>
        <w:t>（项目名称），</w:t>
      </w:r>
      <w:r>
        <w:rPr>
          <w:rFonts w:hint="eastAsia" w:ascii="仿宋" w:hAnsi="仿宋" w:eastAsia="仿宋" w:cs="仿宋"/>
          <w:bCs/>
          <w:sz w:val="24"/>
          <w:szCs w:val="21"/>
          <w:u w:val="single"/>
        </w:rPr>
        <w:t>_______ __________</w:t>
      </w:r>
      <w:r>
        <w:rPr>
          <w:rFonts w:hint="eastAsia" w:ascii="仿宋" w:hAnsi="仿宋" w:eastAsia="仿宋" w:cs="仿宋"/>
          <w:bCs/>
          <w:sz w:val="24"/>
          <w:szCs w:val="21"/>
        </w:rPr>
        <w:t>（项目）的投标活动。针对《中华人民共和国政府采购法》第二十二条规定做出如下声明：</w:t>
      </w:r>
    </w:p>
    <w:p w14:paraId="5F577BDE">
      <w:pPr>
        <w:spacing w:line="520" w:lineRule="exact"/>
        <w:ind w:firstLine="480"/>
        <w:rPr>
          <w:rFonts w:ascii="仿宋" w:hAnsi="仿宋" w:eastAsia="仿宋" w:cs="仿宋"/>
          <w:sz w:val="24"/>
        </w:rPr>
      </w:pPr>
      <w:r>
        <w:rPr>
          <w:rFonts w:hint="eastAsia" w:ascii="仿宋" w:hAnsi="仿宋" w:eastAsia="仿宋" w:cs="仿宋"/>
          <w:bCs/>
          <w:sz w:val="24"/>
          <w:szCs w:val="21"/>
        </w:rPr>
        <w:t>1.我单位具有独立承担民事责任的能力；</w:t>
      </w:r>
    </w:p>
    <w:p w14:paraId="288A4B1A">
      <w:pPr>
        <w:spacing w:line="520" w:lineRule="exact"/>
        <w:ind w:firstLine="480"/>
        <w:rPr>
          <w:rFonts w:ascii="仿宋" w:hAnsi="仿宋" w:eastAsia="仿宋" w:cs="仿宋"/>
          <w:sz w:val="24"/>
        </w:rPr>
      </w:pPr>
      <w:r>
        <w:rPr>
          <w:rFonts w:hint="eastAsia" w:ascii="仿宋" w:hAnsi="仿宋" w:eastAsia="仿宋" w:cs="仿宋"/>
          <w:sz w:val="24"/>
        </w:rPr>
        <w:t>2.我单位具有良好的商业信誉和健全的财务会计制度；</w:t>
      </w:r>
    </w:p>
    <w:p w14:paraId="28AF4CF7">
      <w:pPr>
        <w:spacing w:line="520" w:lineRule="exact"/>
        <w:ind w:firstLine="480"/>
        <w:rPr>
          <w:rFonts w:ascii="仿宋" w:hAnsi="仿宋" w:eastAsia="仿宋" w:cs="仿宋"/>
          <w:sz w:val="24"/>
        </w:rPr>
      </w:pPr>
      <w:r>
        <w:rPr>
          <w:rFonts w:hint="eastAsia" w:ascii="仿宋" w:hAnsi="仿宋" w:eastAsia="仿宋" w:cs="仿宋"/>
          <w:sz w:val="24"/>
        </w:rPr>
        <w:t>3.我单位具有履行合同所必需的设备和专业技术能力；</w:t>
      </w:r>
    </w:p>
    <w:p w14:paraId="3FD1B263">
      <w:pPr>
        <w:spacing w:line="520" w:lineRule="exact"/>
        <w:ind w:firstLine="480"/>
        <w:rPr>
          <w:rFonts w:ascii="仿宋" w:hAnsi="仿宋" w:eastAsia="仿宋" w:cs="仿宋"/>
          <w:sz w:val="24"/>
        </w:rPr>
      </w:pPr>
      <w:r>
        <w:rPr>
          <w:rFonts w:hint="eastAsia" w:ascii="仿宋" w:hAnsi="仿宋" w:eastAsia="仿宋" w:cs="仿宋"/>
          <w:sz w:val="24"/>
        </w:rPr>
        <w:t>4.我单位有依法缴纳税收和社会保障资金的良好记录；</w:t>
      </w:r>
    </w:p>
    <w:p w14:paraId="5EB81E98">
      <w:pPr>
        <w:spacing w:line="520" w:lineRule="exact"/>
        <w:ind w:firstLine="480"/>
        <w:rPr>
          <w:rFonts w:ascii="仿宋" w:hAnsi="仿宋" w:eastAsia="仿宋" w:cs="仿宋"/>
          <w:sz w:val="24"/>
        </w:rPr>
      </w:pPr>
      <w:r>
        <w:rPr>
          <w:rFonts w:hint="eastAsia" w:ascii="仿宋" w:hAnsi="仿宋" w:eastAsia="仿宋" w:cs="仿宋"/>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89C9450">
      <w:pPr>
        <w:spacing w:line="520" w:lineRule="exact"/>
        <w:ind w:firstLine="480"/>
        <w:rPr>
          <w:rFonts w:ascii="仿宋" w:hAnsi="仿宋" w:eastAsia="仿宋" w:cs="仿宋"/>
          <w:sz w:val="24"/>
        </w:rPr>
      </w:pPr>
      <w:r>
        <w:rPr>
          <w:rFonts w:hint="eastAsia" w:ascii="仿宋" w:hAnsi="仿宋" w:eastAsia="仿宋" w:cs="仿宋"/>
          <w:sz w:val="24"/>
        </w:rPr>
        <w:t>6.我单位满足法律、行政法规规定的其他条件。</w:t>
      </w:r>
    </w:p>
    <w:p w14:paraId="1C60CA82">
      <w:pPr>
        <w:spacing w:line="500" w:lineRule="exact"/>
        <w:ind w:firstLine="480"/>
        <w:rPr>
          <w:rFonts w:ascii="仿宋" w:hAnsi="仿宋" w:eastAsia="仿宋" w:cs="仿宋"/>
          <w:sz w:val="24"/>
        </w:rPr>
      </w:pPr>
    </w:p>
    <w:p w14:paraId="6F2DB9D4">
      <w:pPr>
        <w:spacing w:line="500" w:lineRule="exact"/>
        <w:ind w:firstLine="480"/>
        <w:rPr>
          <w:rFonts w:ascii="仿宋" w:hAnsi="仿宋" w:eastAsia="仿宋" w:cs="仿宋"/>
          <w:sz w:val="24"/>
        </w:rPr>
      </w:pPr>
    </w:p>
    <w:p w14:paraId="3E5EA2AB">
      <w:pPr>
        <w:spacing w:line="500" w:lineRule="exact"/>
        <w:ind w:firstLine="480"/>
        <w:rPr>
          <w:rFonts w:ascii="仿宋" w:hAnsi="仿宋" w:eastAsia="仿宋" w:cs="仿宋"/>
          <w:bCs/>
          <w:sz w:val="24"/>
          <w:szCs w:val="21"/>
        </w:rPr>
      </w:pPr>
    </w:p>
    <w:p w14:paraId="0F82655E">
      <w:pPr>
        <w:spacing w:line="500" w:lineRule="exact"/>
        <w:ind w:firstLine="480"/>
        <w:rPr>
          <w:rFonts w:ascii="仿宋" w:hAnsi="仿宋" w:eastAsia="仿宋" w:cs="仿宋"/>
          <w:bCs/>
          <w:sz w:val="24"/>
          <w:szCs w:val="21"/>
        </w:rPr>
      </w:pPr>
    </w:p>
    <w:p w14:paraId="3F837A9F">
      <w:pPr>
        <w:spacing w:line="500" w:lineRule="exact"/>
        <w:ind w:firstLine="480"/>
        <w:rPr>
          <w:rFonts w:ascii="仿宋" w:hAnsi="仿宋" w:eastAsia="仿宋" w:cs="仿宋"/>
          <w:bCs/>
          <w:sz w:val="24"/>
          <w:szCs w:val="21"/>
        </w:rPr>
      </w:pPr>
    </w:p>
    <w:p w14:paraId="055FFFAA">
      <w:pPr>
        <w:spacing w:line="460" w:lineRule="exact"/>
        <w:ind w:firstLine="480"/>
        <w:jc w:val="center"/>
        <w:rPr>
          <w:rFonts w:ascii="仿宋" w:hAnsi="仿宋" w:eastAsia="仿宋" w:cs="仿宋"/>
          <w:bCs/>
          <w:sz w:val="24"/>
          <w:szCs w:val="21"/>
        </w:rPr>
      </w:pPr>
      <w:r>
        <w:rPr>
          <w:rFonts w:hint="eastAsia" w:ascii="仿宋" w:hAnsi="仿宋" w:eastAsia="仿宋" w:cs="仿宋"/>
          <w:bCs/>
          <w:sz w:val="24"/>
          <w:szCs w:val="21"/>
        </w:rPr>
        <w:t xml:space="preserve">                                             承诺人名称（公章）：</w:t>
      </w:r>
    </w:p>
    <w:p w14:paraId="0F5F49A0">
      <w:pPr>
        <w:spacing w:line="460" w:lineRule="exact"/>
        <w:ind w:firstLine="480"/>
        <w:jc w:val="right"/>
        <w:rPr>
          <w:rFonts w:ascii="仿宋" w:hAnsi="仿宋" w:eastAsia="仿宋" w:cs="仿宋"/>
          <w:bCs/>
          <w:sz w:val="24"/>
          <w:szCs w:val="21"/>
        </w:rPr>
      </w:pPr>
    </w:p>
    <w:p w14:paraId="376700D1">
      <w:pPr>
        <w:spacing w:line="460" w:lineRule="exact"/>
        <w:ind w:firstLine="480"/>
        <w:jc w:val="right"/>
        <w:rPr>
          <w:rFonts w:ascii="仿宋" w:hAnsi="仿宋" w:eastAsia="仿宋" w:cs="仿宋"/>
          <w:bCs/>
          <w:sz w:val="24"/>
          <w:szCs w:val="21"/>
        </w:rPr>
      </w:pPr>
      <w:r>
        <w:rPr>
          <w:rFonts w:hint="eastAsia" w:ascii="仿宋" w:hAnsi="仿宋" w:eastAsia="仿宋" w:cs="仿宋"/>
          <w:bCs/>
          <w:sz w:val="24"/>
          <w:szCs w:val="21"/>
        </w:rPr>
        <w:t xml:space="preserve">                                 日期：______年   月  日</w:t>
      </w:r>
    </w:p>
    <w:p w14:paraId="5E90C47E">
      <w:pPr>
        <w:spacing w:line="360" w:lineRule="auto"/>
        <w:ind w:firstLine="560"/>
        <w:rPr>
          <w:rFonts w:ascii="仿宋" w:hAnsi="仿宋" w:eastAsia="仿宋" w:cs="仿宋"/>
          <w:bCs/>
          <w:sz w:val="28"/>
          <w:szCs w:val="22"/>
        </w:rPr>
      </w:pPr>
    </w:p>
    <w:p w14:paraId="0E64615B">
      <w:pPr>
        <w:spacing w:line="360" w:lineRule="auto"/>
        <w:ind w:firstLine="480"/>
        <w:rPr>
          <w:rFonts w:ascii="仿宋" w:hAnsi="仿宋" w:eastAsia="仿宋" w:cs="仿宋"/>
          <w:bCs/>
          <w:sz w:val="24"/>
          <w:szCs w:val="21"/>
        </w:rPr>
      </w:pPr>
      <w:r>
        <w:rPr>
          <w:rFonts w:hint="eastAsia" w:ascii="仿宋" w:hAnsi="仿宋" w:eastAsia="仿宋" w:cs="仿宋"/>
          <w:bCs/>
          <w:sz w:val="24"/>
          <w:szCs w:val="21"/>
        </w:rPr>
        <w:br w:type="page"/>
      </w:r>
    </w:p>
    <w:p w14:paraId="57CF0CF4">
      <w:pPr>
        <w:jc w:val="left"/>
        <w:rPr>
          <w:rFonts w:ascii="仿宋" w:hAnsi="仿宋" w:eastAsia="仿宋" w:cs="仿宋"/>
          <w:bCs/>
          <w:sz w:val="32"/>
          <w:szCs w:val="32"/>
        </w:rPr>
      </w:pPr>
      <w:r>
        <w:rPr>
          <w:rFonts w:hint="eastAsia" w:ascii="仿宋" w:hAnsi="仿宋" w:eastAsia="仿宋" w:cs="仿宋"/>
          <w:bCs/>
          <w:sz w:val="32"/>
          <w:szCs w:val="32"/>
        </w:rPr>
        <w:t>附件2</w:t>
      </w:r>
    </w:p>
    <w:p w14:paraId="0E7D6B78">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法定代表人身份证明</w:t>
      </w:r>
    </w:p>
    <w:p w14:paraId="00A700DC">
      <w:pPr>
        <w:spacing w:line="480" w:lineRule="exact"/>
        <w:ind w:firstLine="480"/>
        <w:rPr>
          <w:rFonts w:ascii="仿宋" w:hAnsi="仿宋" w:eastAsia="仿宋" w:cs="仿宋"/>
          <w:sz w:val="24"/>
        </w:rPr>
      </w:pPr>
    </w:p>
    <w:p w14:paraId="3CE5EE5B">
      <w:pPr>
        <w:spacing w:line="480" w:lineRule="exact"/>
        <w:ind w:firstLine="480"/>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rPr>
        <w:t>先生/女士，身份证号码：</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p>
    <w:p w14:paraId="4727D177">
      <w:pPr>
        <w:spacing w:line="480" w:lineRule="exact"/>
        <w:ind w:firstLine="480" w:firstLineChars="200"/>
        <w:rPr>
          <w:rFonts w:ascii="仿宋" w:hAnsi="仿宋" w:eastAsia="仿宋" w:cs="仿宋"/>
          <w:sz w:val="24"/>
        </w:rPr>
      </w:pPr>
      <w:r>
        <w:rPr>
          <w:rFonts w:hint="eastAsia" w:ascii="仿宋" w:hAnsi="仿宋" w:eastAsia="仿宋" w:cs="仿宋"/>
          <w:sz w:val="24"/>
        </w:rPr>
        <w:t>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14:paraId="615459E9">
      <w:pPr>
        <w:spacing w:line="480" w:lineRule="exact"/>
        <w:ind w:firstLine="480"/>
        <w:rPr>
          <w:rFonts w:ascii="仿宋" w:hAnsi="仿宋" w:eastAsia="仿宋" w:cs="仿宋"/>
          <w:sz w:val="24"/>
        </w:rPr>
      </w:pPr>
    </w:p>
    <w:p w14:paraId="537A2A28">
      <w:pPr>
        <w:spacing w:line="480" w:lineRule="exact"/>
        <w:ind w:firstLine="480"/>
        <w:rPr>
          <w:rFonts w:ascii="仿宋" w:hAnsi="仿宋" w:eastAsia="仿宋" w:cs="仿宋"/>
          <w:sz w:val="24"/>
        </w:rPr>
      </w:pPr>
      <w:r>
        <w:rPr>
          <w:rFonts w:hint="eastAsia" w:ascii="仿宋" w:hAnsi="仿宋" w:eastAsia="仿宋" w:cs="仿宋"/>
          <w:sz w:val="24"/>
        </w:rPr>
        <w:t xml:space="preserve">         </w:t>
      </w:r>
    </w:p>
    <w:p w14:paraId="1FFDFD63">
      <w:pPr>
        <w:spacing w:after="120"/>
        <w:ind w:firstLine="420"/>
        <w:rPr>
          <w:rFonts w:ascii="仿宋" w:hAnsi="仿宋" w:eastAsia="仿宋" w:cs="仿宋"/>
          <w:szCs w:val="20"/>
        </w:rPr>
      </w:pPr>
    </w:p>
    <w:p w14:paraId="25B4ED4F">
      <w:pPr>
        <w:adjustRightInd w:val="0"/>
        <w:spacing w:line="480" w:lineRule="auto"/>
        <w:ind w:left="3255" w:leftChars="1550" w:firstLine="240" w:firstLineChars="100"/>
        <w:rPr>
          <w:rFonts w:ascii="仿宋" w:hAnsi="仿宋" w:eastAsia="仿宋" w:cs="仿宋"/>
          <w:sz w:val="24"/>
        </w:rPr>
      </w:pPr>
      <w:r>
        <w:rPr>
          <w:rFonts w:hint="eastAsia" w:ascii="仿宋" w:hAnsi="仿宋" w:eastAsia="仿宋" w:cs="仿宋"/>
          <w:sz w:val="24"/>
        </w:rPr>
        <w:t>单位名称(盖公章)：</w:t>
      </w:r>
    </w:p>
    <w:p w14:paraId="2D60C7D4">
      <w:pPr>
        <w:adjustRightInd w:val="0"/>
        <w:spacing w:line="480" w:lineRule="auto"/>
        <w:ind w:firstLine="3840" w:firstLineChars="1600"/>
        <w:rPr>
          <w:rFonts w:ascii="仿宋" w:hAnsi="仿宋" w:eastAsia="仿宋" w:cs="仿宋"/>
          <w:sz w:val="24"/>
        </w:rPr>
      </w:pPr>
      <w:r>
        <w:rPr>
          <w:rFonts w:hint="eastAsia" w:ascii="仿宋" w:hAnsi="仿宋" w:eastAsia="仿宋" w:cs="仿宋"/>
          <w:sz w:val="24"/>
        </w:rPr>
        <w:t>日 期：     年   月   日</w:t>
      </w:r>
    </w:p>
    <w:p w14:paraId="5A9FCC31">
      <w:pPr>
        <w:ind w:firstLine="420"/>
        <w:rPr>
          <w:rFonts w:ascii="仿宋" w:hAnsi="仿宋" w:eastAsia="仿宋" w:cs="仿宋"/>
        </w:rPr>
      </w:pPr>
    </w:p>
    <w:p w14:paraId="2EF31D11">
      <w:pPr>
        <w:widowControl/>
        <w:spacing w:line="360" w:lineRule="auto"/>
        <w:ind w:firstLine="482"/>
        <w:rPr>
          <w:rFonts w:ascii="仿宋" w:hAnsi="仿宋" w:eastAsia="仿宋" w:cs="仿宋"/>
          <w:b/>
          <w:bCs/>
          <w:kern w:val="0"/>
          <w:sz w:val="28"/>
          <w:szCs w:val="28"/>
        </w:rPr>
      </w:pPr>
      <w:r>
        <w:rPr>
          <w:rFonts w:hint="eastAsia" w:ascii="仿宋" w:hAnsi="仿宋" w:eastAsia="仿宋" w:cs="仿宋"/>
          <w:b/>
          <w:sz w:val="24"/>
        </w:rPr>
        <w:t>附：法定代表人的身份证正反面复印件盖单位公章</w:t>
      </w:r>
    </w:p>
    <w:p w14:paraId="2BE4721B">
      <w:pPr>
        <w:adjustRightInd w:val="0"/>
        <w:snapToGrid w:val="0"/>
        <w:spacing w:line="312" w:lineRule="auto"/>
        <w:ind w:firstLine="562" w:firstLineChars="200"/>
        <w:jc w:val="left"/>
        <w:rPr>
          <w:rFonts w:ascii="仿宋" w:hAnsi="仿宋" w:eastAsia="仿宋" w:cs="仿宋"/>
          <w:b/>
          <w:sz w:val="28"/>
          <w:szCs w:val="28"/>
        </w:rPr>
      </w:pPr>
    </w:p>
    <w:p w14:paraId="30482E7F">
      <w:pPr>
        <w:adjustRightInd w:val="0"/>
        <w:snapToGrid w:val="0"/>
        <w:spacing w:line="312" w:lineRule="auto"/>
        <w:jc w:val="left"/>
        <w:rPr>
          <w:rFonts w:ascii="仿宋" w:hAnsi="仿宋" w:eastAsia="仿宋" w:cs="仿宋"/>
          <w:sz w:val="32"/>
          <w:szCs w:val="32"/>
        </w:rPr>
      </w:pPr>
      <w:r>
        <w:rPr>
          <w:rFonts w:hint="eastAsia" w:ascii="仿宋" w:hAnsi="仿宋" w:eastAsia="仿宋" w:cs="仿宋"/>
          <w:b/>
          <w:bCs/>
          <w:sz w:val="28"/>
          <w:szCs w:val="28"/>
        </w:rPr>
        <w:br w:type="page"/>
      </w:r>
      <w:r>
        <w:rPr>
          <w:rFonts w:hint="eastAsia" w:ascii="仿宋" w:hAnsi="仿宋" w:eastAsia="仿宋" w:cs="仿宋"/>
          <w:sz w:val="32"/>
          <w:szCs w:val="32"/>
        </w:rPr>
        <w:t>附件3</w:t>
      </w:r>
    </w:p>
    <w:p w14:paraId="5B75AEE2">
      <w:pPr>
        <w:spacing w:line="440" w:lineRule="exact"/>
        <w:ind w:firstLine="643"/>
        <w:jc w:val="center"/>
        <w:rPr>
          <w:rFonts w:ascii="仿宋" w:hAnsi="仿宋" w:eastAsia="仿宋" w:cs="仿宋"/>
          <w:b/>
          <w:sz w:val="32"/>
          <w:szCs w:val="32"/>
        </w:rPr>
      </w:pPr>
      <w:r>
        <w:rPr>
          <w:rFonts w:hint="eastAsia" w:ascii="仿宋" w:hAnsi="仿宋" w:eastAsia="仿宋" w:cs="仿宋"/>
          <w:b/>
          <w:sz w:val="32"/>
          <w:szCs w:val="32"/>
        </w:rPr>
        <w:t>法定 代 表 人 授 权 委 托 书</w:t>
      </w:r>
    </w:p>
    <w:p w14:paraId="3A19ED1C">
      <w:pPr>
        <w:spacing w:line="440" w:lineRule="exact"/>
        <w:ind w:firstLine="480"/>
        <w:rPr>
          <w:rFonts w:ascii="仿宋" w:hAnsi="仿宋" w:eastAsia="仿宋" w:cs="仿宋"/>
          <w:sz w:val="24"/>
        </w:rPr>
      </w:pPr>
    </w:p>
    <w:p w14:paraId="12C5C16C">
      <w:pPr>
        <w:spacing w:line="440" w:lineRule="exact"/>
        <w:ind w:firstLine="560"/>
        <w:rPr>
          <w:rFonts w:ascii="仿宋" w:hAnsi="仿宋" w:eastAsia="仿宋" w:cs="仿宋"/>
          <w:sz w:val="24"/>
        </w:rPr>
      </w:pPr>
      <w:r>
        <w:rPr>
          <w:rFonts w:hint="eastAsia" w:ascii="仿宋" w:hAnsi="仿宋" w:eastAsia="仿宋" w:cs="仿宋"/>
          <w:sz w:val="28"/>
          <w:szCs w:val="28"/>
          <w:u w:val="single"/>
        </w:rPr>
        <w:t>启东市城市水处理有限公司</w:t>
      </w:r>
      <w:r>
        <w:rPr>
          <w:rFonts w:hint="eastAsia" w:ascii="仿宋" w:hAnsi="仿宋" w:eastAsia="仿宋" w:cs="仿宋"/>
          <w:sz w:val="24"/>
        </w:rPr>
        <w:t xml:space="preserve">： </w:t>
      </w:r>
    </w:p>
    <w:p w14:paraId="623A39B1">
      <w:pPr>
        <w:spacing w:line="440" w:lineRule="exact"/>
        <w:ind w:firstLine="720" w:firstLineChars="3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系中华人民共和国合法企业（或事业单位），法定地址：，特授权代表我单位全权办理针对</w:t>
      </w:r>
      <w:r>
        <w:rPr>
          <w:rFonts w:hint="eastAsia" w:ascii="仿宋" w:hAnsi="仿宋" w:eastAsia="仿宋" w:cs="仿宋"/>
          <w:sz w:val="24"/>
          <w:u w:val="single"/>
          <w:lang w:val="en-US" w:eastAsia="zh-CN"/>
        </w:rPr>
        <w:t>启东市吕四污水处理厂窨井式氯离子监控终端采购项目</w:t>
      </w:r>
      <w:r>
        <w:rPr>
          <w:rFonts w:hint="eastAsia" w:ascii="仿宋" w:hAnsi="仿宋" w:eastAsia="仿宋" w:cs="仿宋"/>
          <w:sz w:val="24"/>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70C8512A">
      <w:pPr>
        <w:spacing w:line="440" w:lineRule="exact"/>
        <w:ind w:firstLine="480" w:firstLineChars="200"/>
        <w:rPr>
          <w:rFonts w:ascii="仿宋" w:hAnsi="仿宋" w:eastAsia="仿宋" w:cs="仿宋"/>
          <w:sz w:val="24"/>
        </w:rPr>
      </w:pPr>
      <w:r>
        <w:rPr>
          <w:rFonts w:hint="eastAsia" w:ascii="仿宋" w:hAnsi="仿宋" w:eastAsia="仿宋" w:cs="仿宋"/>
          <w:sz w:val="24"/>
        </w:rPr>
        <w:t>被授权人无权转委托。</w:t>
      </w:r>
    </w:p>
    <w:p w14:paraId="414EDFF5">
      <w:pPr>
        <w:spacing w:line="440" w:lineRule="exact"/>
        <w:ind w:firstLine="480" w:firstLineChars="200"/>
        <w:rPr>
          <w:rFonts w:ascii="仿宋" w:hAnsi="仿宋" w:eastAsia="仿宋" w:cs="仿宋"/>
          <w:sz w:val="24"/>
        </w:rPr>
      </w:pPr>
    </w:p>
    <w:p w14:paraId="72A35283">
      <w:pPr>
        <w:spacing w:line="440" w:lineRule="exact"/>
        <w:ind w:firstLine="480"/>
        <w:rPr>
          <w:rFonts w:ascii="仿宋" w:hAnsi="仿宋" w:eastAsia="仿宋" w:cs="仿宋"/>
          <w:sz w:val="24"/>
        </w:rPr>
      </w:pPr>
      <w:r>
        <w:rPr>
          <w:rFonts w:hint="eastAsia" w:ascii="仿宋" w:hAnsi="仿宋" w:eastAsia="仿宋" w:cs="仿宋"/>
          <w:sz w:val="24"/>
        </w:rPr>
        <w:t>被授权人（签字）：性别：年龄：职务：</w:t>
      </w:r>
    </w:p>
    <w:p w14:paraId="29314C3F">
      <w:pPr>
        <w:spacing w:line="440" w:lineRule="exact"/>
        <w:ind w:firstLine="480"/>
        <w:rPr>
          <w:rFonts w:ascii="仿宋" w:hAnsi="仿宋" w:eastAsia="仿宋" w:cs="仿宋"/>
          <w:sz w:val="24"/>
        </w:rPr>
      </w:pPr>
    </w:p>
    <w:p w14:paraId="36BA936D">
      <w:pPr>
        <w:spacing w:line="440" w:lineRule="exact"/>
        <w:ind w:firstLine="480"/>
        <w:rPr>
          <w:rFonts w:ascii="仿宋" w:hAnsi="仿宋" w:eastAsia="仿宋" w:cs="仿宋"/>
          <w:sz w:val="24"/>
        </w:rPr>
      </w:pPr>
      <w:r>
        <w:rPr>
          <w:rFonts w:hint="eastAsia" w:ascii="仿宋" w:hAnsi="仿宋" w:eastAsia="仿宋" w:cs="仿宋"/>
          <w:sz w:val="24"/>
        </w:rPr>
        <w:t>身份证号码：</w:t>
      </w:r>
    </w:p>
    <w:p w14:paraId="5A78C48A">
      <w:pPr>
        <w:spacing w:line="440" w:lineRule="exact"/>
        <w:ind w:firstLine="480"/>
        <w:rPr>
          <w:rFonts w:ascii="仿宋" w:hAnsi="仿宋" w:eastAsia="仿宋" w:cs="仿宋"/>
          <w:sz w:val="24"/>
        </w:rPr>
      </w:pPr>
    </w:p>
    <w:p w14:paraId="7DBEF97D">
      <w:pPr>
        <w:spacing w:line="440" w:lineRule="exact"/>
        <w:ind w:firstLine="480"/>
        <w:rPr>
          <w:rFonts w:ascii="仿宋" w:hAnsi="仿宋" w:eastAsia="仿宋" w:cs="仿宋"/>
          <w:sz w:val="24"/>
        </w:rPr>
      </w:pPr>
      <w:r>
        <w:rPr>
          <w:rFonts w:hint="eastAsia" w:ascii="仿宋" w:hAnsi="仿宋" w:eastAsia="仿宋" w:cs="仿宋"/>
          <w:sz w:val="24"/>
        </w:rPr>
        <w:t>通讯地址：</w:t>
      </w:r>
    </w:p>
    <w:p w14:paraId="5A0F6A2C">
      <w:pPr>
        <w:spacing w:line="440" w:lineRule="exact"/>
        <w:ind w:firstLine="480"/>
        <w:rPr>
          <w:rFonts w:ascii="仿宋" w:hAnsi="仿宋" w:eastAsia="仿宋" w:cs="仿宋"/>
          <w:sz w:val="24"/>
        </w:rPr>
      </w:pPr>
    </w:p>
    <w:p w14:paraId="37A82DF3">
      <w:pPr>
        <w:spacing w:line="440" w:lineRule="exact"/>
        <w:ind w:firstLine="480"/>
        <w:rPr>
          <w:rFonts w:ascii="仿宋" w:hAnsi="仿宋" w:eastAsia="仿宋" w:cs="仿宋"/>
          <w:sz w:val="24"/>
        </w:rPr>
      </w:pPr>
      <w:r>
        <w:rPr>
          <w:rFonts w:hint="eastAsia" w:ascii="仿宋" w:hAnsi="仿宋" w:eastAsia="仿宋" w:cs="仿宋"/>
          <w:sz w:val="24"/>
        </w:rPr>
        <w:t>联系电话：</w:t>
      </w:r>
    </w:p>
    <w:p w14:paraId="5D608FB0">
      <w:pPr>
        <w:spacing w:line="440" w:lineRule="exact"/>
        <w:ind w:firstLine="480"/>
        <w:rPr>
          <w:rFonts w:ascii="仿宋" w:hAnsi="仿宋" w:eastAsia="仿宋" w:cs="仿宋"/>
          <w:sz w:val="24"/>
        </w:rPr>
      </w:pPr>
    </w:p>
    <w:p w14:paraId="5E204FB1">
      <w:pPr>
        <w:spacing w:line="440" w:lineRule="exact"/>
        <w:ind w:firstLine="480"/>
        <w:rPr>
          <w:rFonts w:ascii="仿宋" w:hAnsi="仿宋" w:eastAsia="仿宋" w:cs="仿宋"/>
          <w:sz w:val="24"/>
        </w:rPr>
      </w:pPr>
      <w:r>
        <w:rPr>
          <w:rFonts w:hint="eastAsia" w:ascii="仿宋" w:hAnsi="仿宋" w:eastAsia="仿宋" w:cs="仿宋"/>
          <w:sz w:val="24"/>
        </w:rPr>
        <w:t>法定代表人（签字或盖章）：</w:t>
      </w:r>
    </w:p>
    <w:p w14:paraId="2FABC0FD">
      <w:pPr>
        <w:spacing w:line="440" w:lineRule="exact"/>
        <w:ind w:firstLine="480"/>
        <w:rPr>
          <w:rFonts w:ascii="仿宋" w:hAnsi="仿宋" w:eastAsia="仿宋" w:cs="仿宋"/>
          <w:sz w:val="24"/>
        </w:rPr>
      </w:pPr>
    </w:p>
    <w:p w14:paraId="5C5E856E">
      <w:pPr>
        <w:spacing w:line="440" w:lineRule="exact"/>
        <w:ind w:firstLine="480"/>
        <w:rPr>
          <w:rFonts w:ascii="仿宋" w:hAnsi="仿宋" w:eastAsia="仿宋" w:cs="仿宋"/>
          <w:sz w:val="24"/>
        </w:rPr>
      </w:pPr>
      <w:r>
        <w:rPr>
          <w:rFonts w:hint="eastAsia" w:ascii="仿宋" w:hAnsi="仿宋" w:eastAsia="仿宋" w:cs="仿宋"/>
          <w:sz w:val="24"/>
        </w:rPr>
        <w:t>供应商（盖公章）：</w:t>
      </w:r>
    </w:p>
    <w:p w14:paraId="1A0229A7">
      <w:pPr>
        <w:spacing w:line="440" w:lineRule="exact"/>
        <w:ind w:firstLine="480"/>
        <w:rPr>
          <w:rFonts w:ascii="仿宋" w:hAnsi="仿宋" w:eastAsia="仿宋" w:cs="仿宋"/>
          <w:sz w:val="24"/>
        </w:rPr>
      </w:pPr>
    </w:p>
    <w:p w14:paraId="2CF2CCB1">
      <w:pPr>
        <w:spacing w:line="440" w:lineRule="exact"/>
        <w:ind w:firstLine="480"/>
        <w:rPr>
          <w:rFonts w:ascii="仿宋" w:hAnsi="仿宋" w:eastAsia="仿宋" w:cs="仿宋"/>
          <w:sz w:val="24"/>
        </w:rPr>
      </w:pPr>
      <w:r>
        <w:rPr>
          <w:rFonts w:hint="eastAsia" w:ascii="仿宋" w:hAnsi="仿宋" w:eastAsia="仿宋" w:cs="仿宋"/>
          <w:sz w:val="24"/>
        </w:rPr>
        <w:t>日期：年月日</w:t>
      </w:r>
    </w:p>
    <w:p w14:paraId="255FA1B5">
      <w:pPr>
        <w:spacing w:line="440" w:lineRule="exact"/>
        <w:ind w:firstLine="482"/>
        <w:jc w:val="left"/>
        <w:rPr>
          <w:rFonts w:ascii="仿宋" w:hAnsi="仿宋" w:eastAsia="仿宋" w:cs="仿宋"/>
          <w:b/>
          <w:kern w:val="0"/>
          <w:sz w:val="24"/>
        </w:rPr>
      </w:pPr>
    </w:p>
    <w:p w14:paraId="2670C59D">
      <w:pPr>
        <w:ind w:firstLine="482"/>
        <w:jc w:val="left"/>
        <w:rPr>
          <w:rFonts w:ascii="仿宋" w:hAnsi="仿宋" w:eastAsia="仿宋" w:cs="仿宋"/>
          <w:b/>
          <w:bCs/>
          <w:sz w:val="24"/>
        </w:rPr>
      </w:pPr>
    </w:p>
    <w:p w14:paraId="45AA7594">
      <w:pPr>
        <w:ind w:firstLine="482"/>
        <w:jc w:val="left"/>
        <w:rPr>
          <w:rFonts w:ascii="仿宋" w:hAnsi="仿宋" w:eastAsia="仿宋" w:cs="仿宋"/>
          <w:sz w:val="24"/>
        </w:rPr>
      </w:pPr>
      <w:r>
        <w:rPr>
          <w:rFonts w:hint="eastAsia" w:ascii="仿宋" w:hAnsi="仿宋" w:eastAsia="仿宋" w:cs="仿宋"/>
          <w:b/>
          <w:bCs/>
          <w:sz w:val="24"/>
        </w:rPr>
        <w:t>附：被授权人身份证正反面复印件盖公章</w:t>
      </w:r>
    </w:p>
    <w:p w14:paraId="3526A12A">
      <w:pPr>
        <w:adjustRightInd w:val="0"/>
        <w:snapToGrid w:val="0"/>
        <w:spacing w:line="312" w:lineRule="auto"/>
        <w:ind w:firstLine="560" w:firstLineChars="200"/>
        <w:jc w:val="left"/>
        <w:rPr>
          <w:rFonts w:ascii="仿宋" w:hAnsi="仿宋" w:eastAsia="仿宋" w:cs="仿宋"/>
          <w:b/>
          <w:sz w:val="24"/>
        </w:rPr>
      </w:pPr>
      <w:r>
        <w:rPr>
          <w:rFonts w:hint="eastAsia" w:ascii="仿宋" w:hAnsi="仿宋" w:eastAsia="仿宋" w:cs="仿宋"/>
          <w:bCs/>
          <w:sz w:val="28"/>
          <w:szCs w:val="28"/>
        </w:rPr>
        <w:br w:type="page"/>
      </w:r>
    </w:p>
    <w:p w14:paraId="418305E4">
      <w:pPr>
        <w:spacing w:line="312" w:lineRule="auto"/>
        <w:rPr>
          <w:rFonts w:ascii="仿宋" w:hAnsi="仿宋" w:eastAsia="仿宋" w:cs="仿宋"/>
          <w:sz w:val="32"/>
          <w:szCs w:val="32"/>
        </w:rPr>
      </w:pPr>
      <w:r>
        <w:rPr>
          <w:rFonts w:hint="eastAsia" w:ascii="仿宋" w:hAnsi="仿宋" w:eastAsia="仿宋" w:cs="仿宋"/>
          <w:sz w:val="32"/>
          <w:szCs w:val="32"/>
        </w:rPr>
        <w:t>附件4</w:t>
      </w:r>
    </w:p>
    <w:p w14:paraId="5A61DCDC">
      <w:pPr>
        <w:spacing w:line="560" w:lineRule="exact"/>
        <w:ind w:firstLine="723"/>
        <w:jc w:val="center"/>
        <w:rPr>
          <w:rFonts w:ascii="仿宋" w:hAnsi="仿宋" w:eastAsia="仿宋" w:cs="仿宋"/>
          <w:sz w:val="36"/>
          <w:szCs w:val="36"/>
        </w:rPr>
      </w:pPr>
      <w:r>
        <w:rPr>
          <w:rFonts w:hint="eastAsia" w:ascii="仿宋" w:hAnsi="仿宋" w:eastAsia="仿宋" w:cs="仿宋"/>
          <w:b/>
          <w:sz w:val="36"/>
          <w:szCs w:val="36"/>
        </w:rPr>
        <w:t>质 保 承 诺 书</w:t>
      </w:r>
    </w:p>
    <w:p w14:paraId="026B7BBD">
      <w:pPr>
        <w:spacing w:line="500" w:lineRule="exact"/>
        <w:rPr>
          <w:rFonts w:ascii="仿宋" w:hAnsi="仿宋" w:eastAsia="仿宋" w:cs="仿宋"/>
          <w:sz w:val="28"/>
          <w:szCs w:val="28"/>
        </w:rPr>
      </w:pPr>
      <w:r>
        <w:rPr>
          <w:rFonts w:hint="eastAsia" w:ascii="仿宋" w:hAnsi="仿宋" w:eastAsia="仿宋" w:cs="仿宋"/>
          <w:sz w:val="28"/>
          <w:szCs w:val="28"/>
        </w:rPr>
        <w:t>启东市城市水处理有限公司：</w:t>
      </w:r>
    </w:p>
    <w:p w14:paraId="0B67A17C">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u w:val="single"/>
        </w:rPr>
        <w:t>（报价供应商全称）</w:t>
      </w:r>
      <w:r>
        <w:rPr>
          <w:rFonts w:hint="eastAsia" w:ascii="仿宋" w:hAnsi="仿宋" w:eastAsia="仿宋" w:cs="仿宋"/>
          <w:sz w:val="28"/>
          <w:szCs w:val="28"/>
        </w:rPr>
        <w:t>授权</w:t>
      </w:r>
      <w:r>
        <w:rPr>
          <w:rFonts w:hint="eastAsia" w:ascii="仿宋" w:hAnsi="仿宋" w:eastAsia="仿宋" w:cs="仿宋"/>
          <w:sz w:val="28"/>
          <w:szCs w:val="28"/>
          <w:u w:val="single"/>
        </w:rPr>
        <w:t>（姓  名）（职  务）</w:t>
      </w:r>
      <w:r>
        <w:rPr>
          <w:rFonts w:hint="eastAsia" w:ascii="仿宋" w:hAnsi="仿宋" w:eastAsia="仿宋" w:cs="仿宋"/>
          <w:sz w:val="28"/>
          <w:szCs w:val="28"/>
        </w:rPr>
        <w:t>为全权代表，参加</w:t>
      </w:r>
      <w:r>
        <w:rPr>
          <w:rFonts w:hint="eastAsia" w:ascii="仿宋" w:hAnsi="仿宋" w:eastAsia="仿宋" w:cs="仿宋"/>
          <w:sz w:val="24"/>
          <w:u w:val="single"/>
          <w:lang w:val="en-US" w:eastAsia="zh-CN"/>
        </w:rPr>
        <w:t>启东市吕四污水处理厂窨井式氯离子监控终端采购项目</w:t>
      </w:r>
      <w:r>
        <w:rPr>
          <w:rFonts w:hint="eastAsia" w:ascii="仿宋" w:hAnsi="仿宋" w:eastAsia="仿宋" w:cs="仿宋"/>
          <w:sz w:val="28"/>
          <w:szCs w:val="28"/>
        </w:rPr>
        <w:t>的有关活动，并宣布同意如下：</w:t>
      </w:r>
    </w:p>
    <w:p w14:paraId="5B7762EC">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1.我方保证提供的货物的完全符合本询价文件的要求，如有负偏离视为验收不合格，我方承担所有损失。</w:t>
      </w:r>
    </w:p>
    <w:p w14:paraId="35D6D20C">
      <w:pPr>
        <w:pStyle w:val="32"/>
        <w:spacing w:line="5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2.我方提供的所有货物免费质保期为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年（配件+人工)及售后服务。质保期内成交供应商应免费维修，质保期外的维修收费按国家和供应商的相关规定办理。所有设备质保时间为自验收合格之日起计。原有设备维修的质保期为半年。</w:t>
      </w:r>
    </w:p>
    <w:p w14:paraId="425C453C">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3.与本项目有关的一切往来通讯请寄：</w:t>
      </w:r>
    </w:p>
    <w:p w14:paraId="4DA3F4F1">
      <w:pPr>
        <w:pStyle w:val="2"/>
        <w:ind w:firstLine="420"/>
        <w:rPr>
          <w:rFonts w:ascii="仿宋" w:hAnsi="仿宋" w:eastAsia="仿宋" w:cs="仿宋"/>
        </w:rPr>
      </w:pPr>
    </w:p>
    <w:p w14:paraId="42819168">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w:t>
      </w:r>
      <w:r>
        <w:rPr>
          <w:rFonts w:hint="eastAsia" w:ascii="仿宋" w:hAnsi="仿宋" w:eastAsia="仿宋" w:cs="仿宋"/>
          <w:sz w:val="28"/>
          <w:szCs w:val="28"/>
        </w:rPr>
        <w:t>　邮编：</w:t>
      </w:r>
      <w:r>
        <w:rPr>
          <w:rFonts w:hint="eastAsia" w:ascii="仿宋" w:hAnsi="仿宋" w:eastAsia="仿宋" w:cs="仿宋"/>
          <w:sz w:val="28"/>
          <w:szCs w:val="28"/>
          <w:u w:val="single"/>
        </w:rPr>
        <w:t>　　　　　　　　　</w:t>
      </w:r>
    </w:p>
    <w:p w14:paraId="0BA5CBA1">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w:t>
      </w:r>
      <w:r>
        <w:rPr>
          <w:rFonts w:hint="eastAsia" w:ascii="仿宋" w:hAnsi="仿宋" w:eastAsia="仿宋" w:cs="仿宋"/>
          <w:sz w:val="28"/>
          <w:szCs w:val="28"/>
        </w:rPr>
        <w:t>　传真：</w:t>
      </w:r>
      <w:r>
        <w:rPr>
          <w:rFonts w:hint="eastAsia" w:ascii="仿宋" w:hAnsi="仿宋" w:eastAsia="仿宋" w:cs="仿宋"/>
          <w:sz w:val="28"/>
          <w:szCs w:val="28"/>
          <w:u w:val="single"/>
        </w:rPr>
        <w:t>　　　　　　　　　</w:t>
      </w:r>
    </w:p>
    <w:p w14:paraId="4A1944E5">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报价单位代表：</w:t>
      </w:r>
      <w:r>
        <w:rPr>
          <w:rFonts w:hint="eastAsia" w:ascii="仿宋" w:hAnsi="仿宋" w:eastAsia="仿宋" w:cs="仿宋"/>
          <w:sz w:val="28"/>
          <w:szCs w:val="28"/>
          <w:u w:val="single"/>
        </w:rPr>
        <w:t>　　　　　　</w:t>
      </w:r>
      <w:r>
        <w:rPr>
          <w:rFonts w:hint="eastAsia" w:ascii="仿宋" w:hAnsi="仿宋" w:eastAsia="仿宋" w:cs="仿宋"/>
          <w:sz w:val="28"/>
          <w:szCs w:val="28"/>
        </w:rPr>
        <w:t>职务：</w:t>
      </w:r>
      <w:r>
        <w:rPr>
          <w:rFonts w:hint="eastAsia" w:ascii="仿宋" w:hAnsi="仿宋" w:eastAsia="仿宋" w:cs="仿宋"/>
          <w:sz w:val="28"/>
          <w:szCs w:val="28"/>
          <w:u w:val="single"/>
        </w:rPr>
        <w:t>　　　　　　　　　</w:t>
      </w:r>
    </w:p>
    <w:p w14:paraId="1AA3D56F">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供应商代表移动电话：</w:t>
      </w:r>
      <w:r>
        <w:rPr>
          <w:rFonts w:hint="eastAsia" w:ascii="仿宋" w:hAnsi="仿宋" w:eastAsia="仿宋" w:cs="仿宋"/>
          <w:sz w:val="28"/>
          <w:szCs w:val="28"/>
          <w:u w:val="single"/>
        </w:rPr>
        <w:t>　　　　　　　　　</w:t>
      </w:r>
    </w:p>
    <w:p w14:paraId="2EDDC321">
      <w:pPr>
        <w:spacing w:line="6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供应商（盖公章）：</w:t>
      </w:r>
      <w:r>
        <w:rPr>
          <w:rFonts w:hint="eastAsia" w:ascii="仿宋" w:hAnsi="仿宋" w:eastAsia="仿宋" w:cs="仿宋"/>
          <w:sz w:val="28"/>
          <w:szCs w:val="28"/>
          <w:u w:val="single"/>
        </w:rPr>
        <w:t>　　　　　　　　　</w:t>
      </w:r>
    </w:p>
    <w:p w14:paraId="7B32F3B0">
      <w:pPr>
        <w:snapToGrid w:val="0"/>
        <w:spacing w:line="300" w:lineRule="auto"/>
        <w:ind w:firstLine="560"/>
        <w:outlineLvl w:val="0"/>
        <w:rPr>
          <w:rFonts w:ascii="仿宋" w:hAnsi="仿宋" w:eastAsia="仿宋" w:cs="仿宋"/>
          <w:sz w:val="32"/>
          <w:szCs w:val="32"/>
        </w:rPr>
      </w:pPr>
      <w:r>
        <w:rPr>
          <w:rFonts w:hint="eastAsia" w:ascii="仿宋" w:hAnsi="仿宋" w:eastAsia="仿宋" w:cs="仿宋"/>
          <w:sz w:val="28"/>
          <w:szCs w:val="28"/>
        </w:rPr>
        <w:t xml:space="preserve">                                        年    月    日</w:t>
      </w:r>
    </w:p>
    <w:p w14:paraId="4B9EAF70">
      <w:pPr>
        <w:ind w:firstLine="602"/>
        <w:rPr>
          <w:rFonts w:ascii="仿宋" w:hAnsi="仿宋" w:eastAsia="仿宋" w:cs="仿宋"/>
          <w:b/>
          <w:sz w:val="30"/>
          <w:szCs w:val="30"/>
        </w:rPr>
      </w:pPr>
      <w:r>
        <w:rPr>
          <w:rFonts w:hint="eastAsia" w:ascii="仿宋" w:hAnsi="仿宋" w:eastAsia="仿宋" w:cs="仿宋"/>
          <w:b/>
          <w:sz w:val="30"/>
          <w:szCs w:val="30"/>
        </w:rPr>
        <w:br w:type="page"/>
      </w:r>
    </w:p>
    <w:p w14:paraId="68C200B7">
      <w:pPr>
        <w:spacing w:line="312" w:lineRule="auto"/>
        <w:rPr>
          <w:rFonts w:ascii="仿宋" w:hAnsi="仿宋" w:eastAsia="仿宋" w:cs="仿宋"/>
          <w:sz w:val="32"/>
          <w:szCs w:val="32"/>
        </w:rPr>
      </w:pPr>
      <w:r>
        <w:rPr>
          <w:rFonts w:hint="eastAsia" w:ascii="仿宋" w:hAnsi="仿宋" w:eastAsia="仿宋" w:cs="仿宋"/>
          <w:sz w:val="32"/>
          <w:szCs w:val="32"/>
        </w:rPr>
        <w:t>附件5</w:t>
      </w:r>
    </w:p>
    <w:p w14:paraId="0B94A260">
      <w:pPr>
        <w:spacing w:line="440" w:lineRule="exact"/>
        <w:ind w:firstLine="602" w:firstLineChars="200"/>
        <w:jc w:val="center"/>
        <w:rPr>
          <w:rFonts w:ascii="仿宋" w:hAnsi="仿宋" w:eastAsia="仿宋" w:cs="仿宋"/>
          <w:b/>
          <w:sz w:val="30"/>
          <w:szCs w:val="30"/>
        </w:rPr>
      </w:pPr>
    </w:p>
    <w:p w14:paraId="1103320C">
      <w:pPr>
        <w:spacing w:line="440" w:lineRule="exact"/>
        <w:ind w:firstLine="602" w:firstLineChars="200"/>
        <w:jc w:val="center"/>
        <w:rPr>
          <w:rFonts w:ascii="仿宋" w:hAnsi="仿宋" w:eastAsia="仿宋" w:cs="仿宋"/>
          <w:b/>
          <w:kern w:val="0"/>
          <w:sz w:val="24"/>
        </w:rPr>
      </w:pPr>
      <w:r>
        <w:rPr>
          <w:rFonts w:hint="eastAsia" w:ascii="仿宋" w:hAnsi="仿宋" w:eastAsia="仿宋" w:cs="仿宋"/>
          <w:b/>
          <w:sz w:val="30"/>
          <w:szCs w:val="30"/>
        </w:rPr>
        <w:t>参加政府采购活动前 3 年内在经营活动中没有重大违法记</w:t>
      </w:r>
      <w:r>
        <w:rPr>
          <w:rFonts w:hint="eastAsia" w:ascii="仿宋" w:hAnsi="仿宋" w:eastAsia="仿宋" w:cs="仿宋"/>
          <w:b/>
          <w:bCs/>
          <w:sz w:val="30"/>
          <w:szCs w:val="30"/>
        </w:rPr>
        <w:t>录和失信记录的书面声明</w:t>
      </w:r>
    </w:p>
    <w:p w14:paraId="79CB673F">
      <w:pPr>
        <w:spacing w:line="440" w:lineRule="exact"/>
        <w:ind w:firstLine="883"/>
        <w:rPr>
          <w:rFonts w:ascii="仿宋" w:hAnsi="仿宋" w:eastAsia="仿宋" w:cs="仿宋"/>
          <w:b/>
          <w:sz w:val="44"/>
          <w:szCs w:val="44"/>
        </w:rPr>
      </w:pPr>
    </w:p>
    <w:p w14:paraId="4EB8B757">
      <w:pPr>
        <w:spacing w:line="440" w:lineRule="exact"/>
        <w:ind w:firstLine="883"/>
        <w:jc w:val="center"/>
        <w:rPr>
          <w:rFonts w:ascii="仿宋" w:hAnsi="仿宋" w:eastAsia="仿宋" w:cs="仿宋"/>
          <w:b/>
          <w:sz w:val="44"/>
          <w:szCs w:val="44"/>
        </w:rPr>
      </w:pPr>
      <w:r>
        <w:rPr>
          <w:rFonts w:hint="eastAsia" w:ascii="仿宋" w:hAnsi="仿宋" w:eastAsia="仿宋" w:cs="仿宋"/>
          <w:b/>
          <w:sz w:val="44"/>
          <w:szCs w:val="44"/>
        </w:rPr>
        <w:t>声  明</w:t>
      </w:r>
    </w:p>
    <w:p w14:paraId="187C6819">
      <w:pPr>
        <w:spacing w:line="440" w:lineRule="exact"/>
        <w:ind w:firstLine="883"/>
        <w:jc w:val="center"/>
        <w:rPr>
          <w:rFonts w:ascii="仿宋" w:hAnsi="仿宋" w:eastAsia="仿宋" w:cs="仿宋"/>
          <w:b/>
          <w:sz w:val="44"/>
          <w:szCs w:val="44"/>
        </w:rPr>
      </w:pPr>
    </w:p>
    <w:p w14:paraId="501F8192">
      <w:pPr>
        <w:spacing w:line="600" w:lineRule="exact"/>
        <w:ind w:firstLine="480"/>
        <w:rPr>
          <w:rFonts w:ascii="仿宋" w:hAnsi="仿宋" w:eastAsia="仿宋" w:cs="仿宋"/>
          <w:bCs/>
          <w:sz w:val="24"/>
        </w:rPr>
      </w:pPr>
      <w:r>
        <w:rPr>
          <w:rFonts w:hint="eastAsia" w:ascii="仿宋" w:hAnsi="仿宋" w:eastAsia="仿宋" w:cs="仿宋"/>
          <w:bCs/>
          <w:sz w:val="24"/>
        </w:rPr>
        <w:t>我公司郑重声明：参加本次政府采购活动前 3 年内，我公司在经营活动中没有因违法经营受到刑事处罚或者责令停产停业、吊销许可证或者执照、较大数额罚款等行政处罚。</w:t>
      </w:r>
    </w:p>
    <w:p w14:paraId="699F2B19">
      <w:pPr>
        <w:spacing w:line="600" w:lineRule="exact"/>
        <w:ind w:firstLine="480"/>
        <w:rPr>
          <w:rFonts w:ascii="仿宋" w:hAnsi="仿宋" w:eastAsia="仿宋" w:cs="仿宋"/>
          <w:sz w:val="24"/>
        </w:rPr>
      </w:pPr>
      <w:r>
        <w:rPr>
          <w:rFonts w:hint="eastAsia" w:ascii="仿宋" w:hAnsi="仿宋" w:eastAsia="仿宋" w:cs="仿宋"/>
          <w:bCs/>
          <w:sz w:val="24"/>
        </w:rPr>
        <w:t>在</w:t>
      </w:r>
      <w:r>
        <w:rPr>
          <w:rFonts w:hint="eastAsia" w:ascii="仿宋" w:hAnsi="仿宋" w:eastAsia="仿宋" w:cs="仿宋"/>
          <w:sz w:val="24"/>
        </w:rPr>
        <w:t>投标截止时间节点，没有被“信用中国”、“</w:t>
      </w:r>
      <w:r>
        <w:rPr>
          <w:rFonts w:hint="eastAsia"/>
        </w:rPr>
        <w:t xml:space="preserve"> </w:t>
      </w:r>
      <w:r>
        <w:rPr>
          <w:rFonts w:hint="eastAsia" w:ascii="仿宋" w:hAnsi="仿宋" w:eastAsia="仿宋" w:cs="仿宋"/>
          <w:sz w:val="24"/>
        </w:rPr>
        <w:t>启东市城市水处理有限公司网站”、“信用江苏”网站列入失信被执行人、重大税收违法案件当事人名单、政府采购严重违法失信行为记录名单。</w:t>
      </w:r>
    </w:p>
    <w:p w14:paraId="47CCE281">
      <w:pPr>
        <w:pStyle w:val="2"/>
        <w:ind w:firstLine="480"/>
        <w:rPr>
          <w:rFonts w:ascii="仿宋" w:hAnsi="仿宋" w:eastAsia="仿宋" w:cs="仿宋"/>
          <w:sz w:val="24"/>
          <w:szCs w:val="24"/>
        </w:rPr>
      </w:pPr>
    </w:p>
    <w:p w14:paraId="3AA5F0C7">
      <w:pPr>
        <w:pStyle w:val="2"/>
        <w:ind w:firstLine="480"/>
        <w:rPr>
          <w:rFonts w:ascii="仿宋" w:hAnsi="仿宋" w:eastAsia="仿宋" w:cs="仿宋"/>
          <w:sz w:val="24"/>
          <w:szCs w:val="24"/>
        </w:rPr>
      </w:pPr>
    </w:p>
    <w:p w14:paraId="335A4EB5">
      <w:pPr>
        <w:spacing w:line="440" w:lineRule="exact"/>
        <w:ind w:firstLine="480"/>
        <w:rPr>
          <w:rFonts w:ascii="仿宋" w:hAnsi="仿宋" w:eastAsia="仿宋" w:cs="仿宋"/>
          <w:bCs/>
          <w:sz w:val="24"/>
          <w:u w:val="single"/>
        </w:rPr>
      </w:pPr>
      <w:r>
        <w:rPr>
          <w:rFonts w:hint="eastAsia" w:ascii="仿宋" w:hAnsi="仿宋" w:eastAsia="仿宋" w:cs="仿宋"/>
          <w:bCs/>
          <w:sz w:val="24"/>
        </w:rPr>
        <w:t xml:space="preserve">   供应商（盖公章）：</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14:paraId="04C60667">
      <w:pPr>
        <w:spacing w:line="440" w:lineRule="exact"/>
        <w:ind w:firstLine="480"/>
        <w:rPr>
          <w:rFonts w:ascii="仿宋" w:hAnsi="仿宋" w:eastAsia="仿宋" w:cs="仿宋"/>
          <w:bCs/>
          <w:sz w:val="24"/>
        </w:rPr>
      </w:pPr>
      <w:r>
        <w:rPr>
          <w:rFonts w:hint="eastAsia" w:ascii="仿宋" w:hAnsi="仿宋" w:eastAsia="仿宋" w:cs="仿宋"/>
          <w:sz w:val="24"/>
        </w:rPr>
        <w:t>法定代表人或被授权人（签字或盖章）：</w:t>
      </w:r>
      <w:r>
        <w:rPr>
          <w:rFonts w:hint="eastAsia" w:ascii="仿宋" w:hAnsi="仿宋" w:eastAsia="仿宋" w:cs="仿宋"/>
          <w:bCs/>
          <w:sz w:val="24"/>
          <w:u w:val="single"/>
        </w:rPr>
        <w:t>_________</w:t>
      </w:r>
    </w:p>
    <w:p w14:paraId="6BD9498A">
      <w:pPr>
        <w:spacing w:line="440" w:lineRule="exact"/>
        <w:ind w:firstLine="480"/>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______</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57E74911">
      <w:pPr>
        <w:ind w:firstLine="643"/>
        <w:rPr>
          <w:rFonts w:ascii="仿宋" w:hAnsi="仿宋" w:eastAsia="仿宋" w:cs="仿宋"/>
          <w:b/>
          <w:bCs/>
          <w:sz w:val="32"/>
          <w:szCs w:val="32"/>
        </w:rPr>
      </w:pPr>
      <w:r>
        <w:rPr>
          <w:rFonts w:hint="eastAsia" w:ascii="仿宋" w:hAnsi="仿宋" w:eastAsia="仿宋" w:cs="仿宋"/>
          <w:b/>
          <w:bCs/>
          <w:sz w:val="32"/>
          <w:szCs w:val="32"/>
        </w:rPr>
        <w:br w:type="page"/>
      </w:r>
    </w:p>
    <w:p w14:paraId="003306C8">
      <w:pPr>
        <w:pStyle w:val="15"/>
        <w:widowControl w:val="0"/>
        <w:spacing w:line="400" w:lineRule="exact"/>
        <w:ind w:firstLine="640"/>
        <w:rPr>
          <w:rFonts w:hint="default" w:ascii="仿宋" w:hAnsi="仿宋" w:eastAsia="仿宋" w:cs="仿宋"/>
          <w:sz w:val="32"/>
          <w:szCs w:val="32"/>
        </w:rPr>
      </w:pPr>
      <w:r>
        <w:rPr>
          <w:rFonts w:ascii="仿宋" w:hAnsi="仿宋" w:eastAsia="仿宋" w:cs="仿宋"/>
          <w:sz w:val="32"/>
          <w:szCs w:val="32"/>
        </w:rPr>
        <w:t>附件6</w:t>
      </w:r>
    </w:p>
    <w:p w14:paraId="27833A47">
      <w:pPr>
        <w:ind w:firstLine="643"/>
        <w:jc w:val="center"/>
        <w:rPr>
          <w:rFonts w:ascii="仿宋" w:hAnsi="仿宋" w:eastAsia="仿宋" w:cs="仿宋"/>
          <w:b/>
          <w:bCs/>
          <w:sz w:val="32"/>
          <w:szCs w:val="40"/>
        </w:rPr>
      </w:pPr>
      <w:r>
        <w:rPr>
          <w:rFonts w:hint="eastAsia" w:ascii="仿宋" w:hAnsi="仿宋" w:eastAsia="仿宋" w:cs="仿宋"/>
          <w:b/>
          <w:bCs/>
          <w:sz w:val="32"/>
          <w:szCs w:val="40"/>
        </w:rPr>
        <w:t>报价总表</w:t>
      </w:r>
    </w:p>
    <w:p w14:paraId="6F10400B">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项目名称：</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5B02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30891B6F">
            <w:pPr>
              <w:ind w:firstLine="560"/>
              <w:jc w:val="center"/>
              <w:rPr>
                <w:rFonts w:ascii="仿宋" w:hAnsi="仿宋" w:eastAsia="仿宋" w:cs="仿宋"/>
                <w:szCs w:val="22"/>
              </w:rPr>
            </w:pPr>
            <w:r>
              <w:rPr>
                <w:rFonts w:hint="eastAsia" w:ascii="仿宋" w:hAnsi="仿宋" w:eastAsia="仿宋" w:cs="仿宋"/>
                <w:kern w:val="0"/>
                <w:sz w:val="28"/>
                <w:szCs w:val="28"/>
              </w:rPr>
              <w:t>响应货物、服务名称</w:t>
            </w:r>
          </w:p>
        </w:tc>
        <w:tc>
          <w:tcPr>
            <w:tcW w:w="4607" w:type="dxa"/>
            <w:noWrap/>
          </w:tcPr>
          <w:p w14:paraId="11EC4F8D">
            <w:pPr>
              <w:ind w:firstLine="560"/>
              <w:jc w:val="center"/>
              <w:rPr>
                <w:rFonts w:ascii="仿宋" w:hAnsi="仿宋" w:eastAsia="仿宋" w:cs="仿宋"/>
                <w:szCs w:val="22"/>
              </w:rPr>
            </w:pPr>
            <w:r>
              <w:rPr>
                <w:rFonts w:hint="eastAsia" w:ascii="仿宋" w:hAnsi="仿宋" w:eastAsia="仿宋" w:cs="仿宋"/>
                <w:kern w:val="0"/>
                <w:sz w:val="28"/>
                <w:szCs w:val="28"/>
              </w:rPr>
              <w:t>响应总报价</w:t>
            </w:r>
          </w:p>
        </w:tc>
      </w:tr>
      <w:tr w14:paraId="09D4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14:paraId="096C7A38">
            <w:pPr>
              <w:ind w:firstLine="420"/>
              <w:rPr>
                <w:rFonts w:ascii="仿宋" w:hAnsi="仿宋" w:eastAsia="仿宋" w:cs="仿宋"/>
                <w:szCs w:val="22"/>
              </w:rPr>
            </w:pPr>
          </w:p>
        </w:tc>
        <w:tc>
          <w:tcPr>
            <w:tcW w:w="4607" w:type="dxa"/>
            <w:noWrap/>
          </w:tcPr>
          <w:p w14:paraId="794A8CF7">
            <w:pPr>
              <w:ind w:firstLine="560"/>
              <w:rPr>
                <w:rFonts w:ascii="仿宋" w:hAnsi="仿宋" w:eastAsia="仿宋" w:cs="仿宋"/>
                <w:kern w:val="0"/>
                <w:sz w:val="28"/>
                <w:szCs w:val="28"/>
              </w:rPr>
            </w:pPr>
            <w:r>
              <w:rPr>
                <w:rFonts w:hint="eastAsia" w:ascii="仿宋" w:hAnsi="仿宋" w:eastAsia="仿宋" w:cs="仿宋"/>
                <w:kern w:val="0"/>
                <w:sz w:val="28"/>
                <w:szCs w:val="28"/>
              </w:rPr>
              <w:t>大写：</w:t>
            </w:r>
            <w:r>
              <w:rPr>
                <w:rFonts w:hint="eastAsia" w:ascii="仿宋" w:hAnsi="仿宋" w:eastAsia="仿宋" w:cs="仿宋"/>
                <w:kern w:val="0"/>
                <w:sz w:val="28"/>
                <w:szCs w:val="28"/>
              </w:rPr>
              <w:br w:type="textWrapping"/>
            </w:r>
          </w:p>
          <w:p w14:paraId="25750A87">
            <w:pPr>
              <w:ind w:firstLine="560"/>
              <w:rPr>
                <w:rFonts w:ascii="仿宋" w:hAnsi="仿宋" w:eastAsia="仿宋" w:cs="仿宋"/>
                <w:szCs w:val="22"/>
                <w:u w:val="single"/>
              </w:rPr>
            </w:pPr>
            <w:r>
              <w:rPr>
                <w:rFonts w:hint="eastAsia" w:ascii="仿宋" w:hAnsi="仿宋" w:eastAsia="仿宋" w:cs="仿宋"/>
                <w:kern w:val="0"/>
                <w:sz w:val="28"/>
                <w:szCs w:val="28"/>
              </w:rPr>
              <w:t>小写：元（人民币）</w:t>
            </w:r>
          </w:p>
        </w:tc>
      </w:tr>
      <w:tr w14:paraId="5B94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5C7D7878">
            <w:pPr>
              <w:ind w:firstLine="560"/>
              <w:rPr>
                <w:rFonts w:ascii="仿宋" w:hAnsi="仿宋" w:eastAsia="仿宋" w:cs="仿宋"/>
                <w:szCs w:val="22"/>
              </w:rPr>
            </w:pPr>
            <w:r>
              <w:rPr>
                <w:rFonts w:hint="eastAsia" w:ascii="仿宋" w:hAnsi="仿宋" w:eastAsia="仿宋" w:cs="仿宋"/>
                <w:kern w:val="0"/>
                <w:sz w:val="28"/>
                <w:szCs w:val="28"/>
              </w:rPr>
              <w:t>主要货物、服务制造商及产地</w:t>
            </w:r>
          </w:p>
        </w:tc>
        <w:tc>
          <w:tcPr>
            <w:tcW w:w="4607" w:type="dxa"/>
            <w:noWrap/>
          </w:tcPr>
          <w:p w14:paraId="460D02FF">
            <w:pPr>
              <w:ind w:firstLine="420"/>
              <w:rPr>
                <w:rFonts w:ascii="仿宋" w:hAnsi="仿宋" w:eastAsia="仿宋" w:cs="仿宋"/>
                <w:szCs w:val="22"/>
              </w:rPr>
            </w:pPr>
          </w:p>
        </w:tc>
      </w:tr>
      <w:tr w14:paraId="45B7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14:paraId="494C84A0">
            <w:pPr>
              <w:ind w:firstLine="420"/>
              <w:rPr>
                <w:rFonts w:ascii="仿宋" w:hAnsi="仿宋" w:eastAsia="仿宋" w:cs="仿宋"/>
                <w:szCs w:val="22"/>
              </w:rPr>
            </w:pPr>
          </w:p>
        </w:tc>
        <w:tc>
          <w:tcPr>
            <w:tcW w:w="4607" w:type="dxa"/>
            <w:noWrap/>
          </w:tcPr>
          <w:p w14:paraId="164392F7">
            <w:pPr>
              <w:ind w:firstLine="420"/>
              <w:rPr>
                <w:rFonts w:ascii="仿宋" w:hAnsi="仿宋" w:eastAsia="仿宋" w:cs="仿宋"/>
                <w:szCs w:val="22"/>
              </w:rPr>
            </w:pPr>
          </w:p>
        </w:tc>
      </w:tr>
    </w:tbl>
    <w:p w14:paraId="033B268B">
      <w:pPr>
        <w:spacing w:line="440" w:lineRule="exact"/>
        <w:ind w:firstLine="576"/>
        <w:jc w:val="left"/>
        <w:rPr>
          <w:rFonts w:ascii="仿宋" w:hAnsi="仿宋" w:eastAsia="仿宋" w:cs="仿宋"/>
          <w:spacing w:val="4"/>
          <w:sz w:val="28"/>
          <w:szCs w:val="28"/>
        </w:rPr>
      </w:pPr>
    </w:p>
    <w:p w14:paraId="47702665">
      <w:pPr>
        <w:spacing w:line="480" w:lineRule="auto"/>
        <w:ind w:firstLine="560"/>
        <w:rPr>
          <w:rFonts w:ascii="仿宋" w:hAnsi="仿宋" w:eastAsia="仿宋" w:cs="仿宋"/>
          <w:bCs/>
          <w:sz w:val="28"/>
          <w:szCs w:val="28"/>
        </w:rPr>
      </w:pPr>
      <w:r>
        <w:rPr>
          <w:rFonts w:hint="eastAsia" w:ascii="仿宋" w:hAnsi="仿宋" w:eastAsia="仿宋" w:cs="仿宋"/>
          <w:bCs/>
          <w:sz w:val="28"/>
          <w:szCs w:val="28"/>
        </w:rPr>
        <w:t>供应商（盖公章）：</w:t>
      </w:r>
    </w:p>
    <w:p w14:paraId="586BD64E">
      <w:pPr>
        <w:spacing w:line="480" w:lineRule="auto"/>
        <w:ind w:firstLine="560"/>
        <w:jc w:val="left"/>
        <w:rPr>
          <w:rFonts w:ascii="仿宋" w:hAnsi="仿宋" w:eastAsia="仿宋" w:cs="仿宋"/>
          <w:bCs/>
          <w:sz w:val="28"/>
          <w:szCs w:val="28"/>
        </w:rPr>
      </w:pPr>
      <w:r>
        <w:rPr>
          <w:rFonts w:hint="eastAsia" w:ascii="仿宋" w:hAnsi="仿宋" w:eastAsia="仿宋" w:cs="仿宋"/>
          <w:sz w:val="28"/>
          <w:szCs w:val="28"/>
        </w:rPr>
        <w:t>法定代表人或被授权人（签字或盖章）：</w:t>
      </w:r>
      <w:r>
        <w:rPr>
          <w:rFonts w:hint="eastAsia" w:ascii="仿宋" w:hAnsi="仿宋" w:eastAsia="仿宋" w:cs="仿宋"/>
          <w:bCs/>
          <w:sz w:val="28"/>
          <w:szCs w:val="28"/>
        </w:rPr>
        <w:t>_________</w:t>
      </w:r>
    </w:p>
    <w:p w14:paraId="0FC84BE1">
      <w:pPr>
        <w:spacing w:line="480" w:lineRule="auto"/>
        <w:ind w:firstLine="560"/>
        <w:rPr>
          <w:rFonts w:ascii="仿宋" w:hAnsi="仿宋" w:eastAsia="仿宋" w:cs="仿宋"/>
          <w:bCs/>
          <w:sz w:val="28"/>
          <w:szCs w:val="28"/>
        </w:rPr>
      </w:pPr>
      <w:r>
        <w:rPr>
          <w:rFonts w:hint="eastAsia" w:ascii="仿宋" w:hAnsi="仿宋" w:eastAsia="仿宋" w:cs="仿宋"/>
          <w:bCs/>
          <w:sz w:val="28"/>
          <w:szCs w:val="28"/>
        </w:rPr>
        <w:t>日期：______年月日</w:t>
      </w:r>
    </w:p>
    <w:p w14:paraId="4B7539EF">
      <w:pPr>
        <w:pStyle w:val="15"/>
        <w:spacing w:before="0" w:beforeAutospacing="0" w:after="0" w:afterAutospacing="0" w:line="480" w:lineRule="auto"/>
        <w:jc w:val="both"/>
        <w:rPr>
          <w:rFonts w:hint="default" w:ascii="仿宋" w:hAnsi="仿宋" w:eastAsia="仿宋" w:cs="仿宋"/>
          <w:b/>
          <w:sz w:val="28"/>
          <w:szCs w:val="28"/>
        </w:rPr>
        <w:sectPr>
          <w:footerReference r:id="rId3" w:type="default"/>
          <w:footerReference r:id="rId4" w:type="even"/>
          <w:pgSz w:w="11906" w:h="16838"/>
          <w:pgMar w:top="1440" w:right="1800" w:bottom="1440" w:left="1800" w:header="851" w:footer="992" w:gutter="0"/>
          <w:cols w:space="720" w:num="1"/>
          <w:docGrid w:linePitch="360" w:charSpace="0"/>
        </w:sectPr>
      </w:pPr>
    </w:p>
    <w:p w14:paraId="4CAFEB7F">
      <w:pPr>
        <w:spacing w:line="312" w:lineRule="auto"/>
        <w:ind w:firstLine="640"/>
        <w:rPr>
          <w:rFonts w:ascii="仿宋" w:hAnsi="仿宋" w:eastAsia="仿宋" w:cs="仿宋"/>
          <w:sz w:val="32"/>
          <w:szCs w:val="32"/>
        </w:rPr>
      </w:pPr>
      <w:r>
        <w:rPr>
          <w:rFonts w:hint="eastAsia" w:ascii="仿宋" w:hAnsi="仿宋" w:eastAsia="仿宋" w:cs="仿宋"/>
          <w:sz w:val="32"/>
          <w:szCs w:val="32"/>
        </w:rPr>
        <w:t>附件7</w:t>
      </w:r>
    </w:p>
    <w:p w14:paraId="0D8E0544">
      <w:pPr>
        <w:ind w:firstLine="643"/>
        <w:jc w:val="center"/>
        <w:rPr>
          <w:rFonts w:ascii="仿宋" w:hAnsi="仿宋" w:eastAsia="仿宋" w:cs="仿宋"/>
          <w:sz w:val="28"/>
          <w:szCs w:val="28"/>
        </w:rPr>
      </w:pPr>
      <w:r>
        <w:rPr>
          <w:rFonts w:hint="eastAsia" w:ascii="仿宋" w:hAnsi="仿宋" w:eastAsia="仿宋" w:cs="仿宋"/>
          <w:b/>
          <w:bCs/>
          <w:sz w:val="32"/>
          <w:szCs w:val="40"/>
        </w:rPr>
        <w:t>分项报价明细表（货物类）</w:t>
      </w:r>
    </w:p>
    <w:tbl>
      <w:tblPr>
        <w:tblStyle w:val="18"/>
        <w:tblW w:w="84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
        <w:gridCol w:w="1516"/>
        <w:gridCol w:w="390"/>
        <w:gridCol w:w="630"/>
        <w:gridCol w:w="3450"/>
        <w:gridCol w:w="915"/>
        <w:gridCol w:w="1079"/>
      </w:tblGrid>
      <w:tr w14:paraId="1E17F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501" w:type="dxa"/>
            <w:tcBorders>
              <w:top w:val="single" w:color="000000" w:sz="4" w:space="0"/>
              <w:left w:val="single" w:color="000000" w:sz="4" w:space="0"/>
              <w:bottom w:val="single" w:color="000000" w:sz="4" w:space="0"/>
              <w:right w:val="single" w:color="000000" w:sz="4" w:space="0"/>
            </w:tcBorders>
            <w:noWrap w:val="0"/>
            <w:vAlign w:val="center"/>
          </w:tcPr>
          <w:p w14:paraId="4C769D53">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序号</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705E347">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产品名称</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259748D7">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数量</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45B7CB0">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单位</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5CE61DE3">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说明</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A297E9A">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单价</w:t>
            </w:r>
          </w:p>
          <w:p w14:paraId="7B950A6F">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（元）</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04088BF5">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总价</w:t>
            </w:r>
          </w:p>
          <w:p w14:paraId="04CB9653">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4"/>
                <w:szCs w:val="24"/>
                <w:u w:val="none"/>
                <w:lang w:val="en-US" w:eastAsia="zh-CN" w:bidi="ar"/>
              </w:rPr>
            </w:pPr>
            <w:r>
              <w:rPr>
                <w:rFonts w:hint="eastAsia" w:ascii="Times New Roman" w:hAnsi="Times New Roman" w:eastAsia="仿宋_GB2312" w:cs="仿宋_GB2312"/>
                <w:i w:val="0"/>
                <w:iCs w:val="0"/>
                <w:color w:val="auto"/>
                <w:kern w:val="0"/>
                <w:sz w:val="24"/>
                <w:szCs w:val="24"/>
                <w:u w:val="none"/>
                <w:lang w:val="en-US" w:eastAsia="zh-CN" w:bidi="ar"/>
              </w:rPr>
              <w:t>（合计）</w:t>
            </w:r>
          </w:p>
        </w:tc>
      </w:tr>
      <w:tr w14:paraId="5E75C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1" w:hRule="atLeast"/>
        </w:trPr>
        <w:tc>
          <w:tcPr>
            <w:tcW w:w="501" w:type="dxa"/>
            <w:tcBorders>
              <w:top w:val="single" w:color="000000" w:sz="4" w:space="0"/>
              <w:left w:val="single" w:color="000000" w:sz="4" w:space="0"/>
              <w:bottom w:val="single" w:color="000000" w:sz="4" w:space="0"/>
              <w:right w:val="single" w:color="000000" w:sz="4" w:space="0"/>
            </w:tcBorders>
            <w:noWrap w:val="0"/>
            <w:vAlign w:val="center"/>
          </w:tcPr>
          <w:p w14:paraId="66C9FA44">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default" w:ascii="Times New Roman" w:hAnsi="Times New Roman" w:eastAsia="仿宋_GB2312" w:cs="仿宋_GB2312"/>
                <w:i w:val="0"/>
                <w:iCs w:val="0"/>
                <w:color w:val="auto"/>
                <w:kern w:val="0"/>
                <w:sz w:val="21"/>
                <w:szCs w:val="21"/>
                <w:u w:val="none"/>
                <w:lang w:val="en-US" w:eastAsia="zh-CN" w:bidi="ar"/>
              </w:rPr>
              <w:t>1</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A157CDE">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防水型多参数测控终端（含安装支架）</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29F5D296">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default" w:ascii="Times New Roman" w:hAnsi="Times New Roman" w:eastAsia="仿宋_GB2312" w:cs="仿宋_GB2312"/>
                <w:i w:val="0"/>
                <w:iCs w:val="0"/>
                <w:color w:val="auto"/>
                <w:kern w:val="0"/>
                <w:sz w:val="21"/>
                <w:szCs w:val="21"/>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C88847D">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套</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4350386F">
            <w:pPr>
              <w:keepNext w:val="0"/>
              <w:keepLines w:val="0"/>
              <w:widowControl/>
              <w:suppressLineNumbers w:val="0"/>
              <w:ind w:left="0" w:leftChars="0" w:firstLine="0" w:firstLineChars="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具有防爆、防水，耐高湿热、高腐蚀环境；支架需采用304不锈钢材质。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B1A3428">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07D1568D">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p>
        </w:tc>
      </w:tr>
      <w:tr w14:paraId="00A0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501" w:type="dxa"/>
            <w:tcBorders>
              <w:top w:val="single" w:color="000000" w:sz="4" w:space="0"/>
              <w:left w:val="single" w:color="000000" w:sz="4" w:space="0"/>
              <w:bottom w:val="single" w:color="000000" w:sz="4" w:space="0"/>
              <w:right w:val="single" w:color="000000" w:sz="4" w:space="0"/>
            </w:tcBorders>
            <w:noWrap w:val="0"/>
            <w:vAlign w:val="center"/>
          </w:tcPr>
          <w:p w14:paraId="295F7BC5">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default" w:ascii="Times New Roman" w:hAnsi="Times New Roman" w:eastAsia="仿宋_GB2312" w:cs="仿宋_GB2312"/>
                <w:i w:val="0"/>
                <w:iCs w:val="0"/>
                <w:color w:val="auto"/>
                <w:kern w:val="0"/>
                <w:sz w:val="21"/>
                <w:szCs w:val="21"/>
                <w:u w:val="none"/>
                <w:lang w:val="en-US" w:eastAsia="zh-CN" w:bidi="ar"/>
              </w:rPr>
              <w:t>2</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44C7497">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氯离子传感器（含安装支架）</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3E8F8F55">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default" w:ascii="Times New Roman" w:hAnsi="Times New Roman" w:eastAsia="仿宋_GB2312" w:cs="仿宋_GB2312"/>
                <w:i w:val="0"/>
                <w:iCs w:val="0"/>
                <w:color w:val="auto"/>
                <w:kern w:val="0"/>
                <w:sz w:val="21"/>
                <w:szCs w:val="21"/>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FDD957C">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套</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446D54FA">
            <w:pPr>
              <w:keepNext w:val="0"/>
              <w:keepLines w:val="0"/>
              <w:widowControl/>
              <w:suppressLineNumbers w:val="0"/>
              <w:ind w:left="0" w:leftChars="0" w:firstLine="0" w:firstLineChars="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量程：氯离子浓度：3~3500 mg/L，PH：5-10，温度：0-40℃；标配电缆长度：10米；支架需采用304不锈钢材质，长度至少6米。</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BD80DED">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15C5FD8A">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p>
        </w:tc>
      </w:tr>
      <w:tr w14:paraId="62252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501" w:type="dxa"/>
            <w:tcBorders>
              <w:top w:val="single" w:color="000000" w:sz="4" w:space="0"/>
              <w:left w:val="single" w:color="000000" w:sz="4" w:space="0"/>
              <w:bottom w:val="single" w:color="000000" w:sz="4" w:space="0"/>
              <w:right w:val="single" w:color="000000" w:sz="4" w:space="0"/>
            </w:tcBorders>
            <w:noWrap w:val="0"/>
            <w:vAlign w:val="center"/>
          </w:tcPr>
          <w:p w14:paraId="391A2F7D">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default" w:ascii="Times New Roman" w:hAnsi="Times New Roman" w:eastAsia="仿宋_GB2312" w:cs="仿宋_GB2312"/>
                <w:i w:val="0"/>
                <w:iCs w:val="0"/>
                <w:color w:val="auto"/>
                <w:kern w:val="0"/>
                <w:sz w:val="21"/>
                <w:szCs w:val="21"/>
                <w:u w:val="none"/>
                <w:lang w:val="en-US" w:eastAsia="zh-CN" w:bidi="ar"/>
              </w:rPr>
              <w:t>3</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5C06DB89">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水质监测平台</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1A6B26D8">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942E792">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年</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1FFA7778">
            <w:pPr>
              <w:keepNext w:val="0"/>
              <w:keepLines w:val="0"/>
              <w:widowControl/>
              <w:suppressLineNumbers w:val="0"/>
              <w:ind w:left="0" w:leftChars="0" w:firstLine="0" w:firstLineChars="0"/>
              <w:jc w:val="left"/>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含网页版及手机APP(限安卓、鸿蒙)，平台布置在厂家服务器上；平台功能：实时数据、历史数据、数据图表分析、短信预警等。</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FD460AB">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p>
        </w:tc>
        <w:tc>
          <w:tcPr>
            <w:tcW w:w="1079" w:type="dxa"/>
            <w:tcBorders>
              <w:top w:val="single" w:color="000000" w:sz="4" w:space="0"/>
              <w:left w:val="single" w:color="000000" w:sz="4" w:space="0"/>
              <w:bottom w:val="single" w:color="000000" w:sz="4" w:space="0"/>
              <w:right w:val="single" w:color="000000" w:sz="4" w:space="0"/>
            </w:tcBorders>
            <w:noWrap w:val="0"/>
            <w:vAlign w:val="center"/>
          </w:tcPr>
          <w:p w14:paraId="4E73A8C1">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p>
        </w:tc>
      </w:tr>
      <w:tr w14:paraId="3F993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rPr>
        <w:tc>
          <w:tcPr>
            <w:tcW w:w="501" w:type="dxa"/>
            <w:tcBorders>
              <w:top w:val="single" w:color="000000" w:sz="4" w:space="0"/>
              <w:left w:val="single" w:color="000000" w:sz="4" w:space="0"/>
              <w:bottom w:val="single" w:color="000000" w:sz="4" w:space="0"/>
              <w:right w:val="single" w:color="000000" w:sz="4" w:space="0"/>
            </w:tcBorders>
            <w:noWrap w:val="0"/>
            <w:vAlign w:val="center"/>
          </w:tcPr>
          <w:p w14:paraId="5B0DA0A6">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default" w:ascii="Times New Roman" w:hAnsi="Times New Roman" w:eastAsia="仿宋_GB2312" w:cs="仿宋_GB2312"/>
                <w:i w:val="0"/>
                <w:iCs w:val="0"/>
                <w:color w:val="auto"/>
                <w:kern w:val="0"/>
                <w:sz w:val="21"/>
                <w:szCs w:val="21"/>
                <w:u w:val="none"/>
                <w:lang w:val="en-US" w:eastAsia="zh-CN" w:bidi="ar"/>
              </w:rPr>
              <w:t>4</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3C22BFA5">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防水型电池盒</w:t>
            </w:r>
            <w:r>
              <w:rPr>
                <w:rFonts w:hint="eastAsia" w:ascii="Times New Roman" w:hAnsi="Times New Roman" w:eastAsia="仿宋_GB2312" w:cs="仿宋_GB2312"/>
                <w:i w:val="0"/>
                <w:iCs w:val="0"/>
                <w:color w:val="auto"/>
                <w:kern w:val="0"/>
                <w:sz w:val="21"/>
                <w:szCs w:val="21"/>
                <w:u w:val="none"/>
                <w:lang w:val="en-US" w:eastAsia="zh-CN" w:bidi="ar"/>
              </w:rPr>
              <w:br w:type="textWrapping"/>
            </w:r>
            <w:r>
              <w:rPr>
                <w:rFonts w:hint="eastAsia" w:ascii="Times New Roman" w:hAnsi="Times New Roman" w:eastAsia="仿宋_GB2312" w:cs="仿宋_GB2312"/>
                <w:i w:val="0"/>
                <w:iCs w:val="0"/>
                <w:color w:val="auto"/>
                <w:kern w:val="0"/>
                <w:sz w:val="21"/>
                <w:szCs w:val="21"/>
                <w:u w:val="none"/>
                <w:lang w:val="en-US" w:eastAsia="zh-CN" w:bidi="ar"/>
              </w:rPr>
              <w:t>（含安装支架）</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3A46B8AC">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default" w:ascii="Times New Roman" w:hAnsi="Times New Roman" w:eastAsia="仿宋_GB2312" w:cs="仿宋_GB2312"/>
                <w:i w:val="0"/>
                <w:iCs w:val="0"/>
                <w:color w:val="auto"/>
                <w:kern w:val="0"/>
                <w:sz w:val="21"/>
                <w:szCs w:val="21"/>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7DD73FF">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套</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6FA386D5">
            <w:pPr>
              <w:keepNext w:val="0"/>
              <w:keepLines w:val="0"/>
              <w:widowControl/>
              <w:suppressLineNumbers w:val="0"/>
              <w:ind w:left="0" w:leftChars="0" w:firstLine="0" w:firstLineChars="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标称容量：30AH；标称电压：12.8V，充电限压：14.6V；充电电流3A；类型：锂电池；标配充电器；支架需采用304不锈钢材质；防护等级：IP68。</w:t>
            </w:r>
          </w:p>
        </w:tc>
        <w:tc>
          <w:tcPr>
            <w:tcW w:w="915" w:type="dxa"/>
            <w:tcBorders>
              <w:top w:val="single" w:color="000000" w:sz="4" w:space="0"/>
              <w:left w:val="single" w:color="000000" w:sz="4" w:space="0"/>
              <w:bottom w:val="single" w:color="000000" w:sz="4" w:space="0"/>
              <w:right w:val="single" w:color="000000" w:sz="4" w:space="0"/>
            </w:tcBorders>
            <w:noWrap/>
            <w:vAlign w:val="bottom"/>
          </w:tcPr>
          <w:p w14:paraId="045B952C">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p>
        </w:tc>
        <w:tc>
          <w:tcPr>
            <w:tcW w:w="1079" w:type="dxa"/>
            <w:tcBorders>
              <w:top w:val="single" w:color="000000" w:sz="4" w:space="0"/>
              <w:left w:val="single" w:color="000000" w:sz="4" w:space="0"/>
              <w:bottom w:val="single" w:color="000000" w:sz="4" w:space="0"/>
              <w:right w:val="single" w:color="000000" w:sz="4" w:space="0"/>
            </w:tcBorders>
            <w:noWrap/>
            <w:vAlign w:val="bottom"/>
          </w:tcPr>
          <w:p w14:paraId="31E7F01F">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p>
        </w:tc>
      </w:tr>
      <w:tr w14:paraId="30214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501" w:type="dxa"/>
            <w:tcBorders>
              <w:top w:val="single" w:color="000000" w:sz="4" w:space="0"/>
              <w:left w:val="single" w:color="000000" w:sz="4" w:space="0"/>
              <w:bottom w:val="single" w:color="000000" w:sz="4" w:space="0"/>
              <w:right w:val="single" w:color="000000" w:sz="4" w:space="0"/>
            </w:tcBorders>
            <w:noWrap w:val="0"/>
            <w:vAlign w:val="center"/>
          </w:tcPr>
          <w:p w14:paraId="7979243A">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default" w:ascii="Times New Roman" w:hAnsi="Times New Roman" w:eastAsia="仿宋_GB2312" w:cs="仿宋_GB2312"/>
                <w:i w:val="0"/>
                <w:iCs w:val="0"/>
                <w:color w:val="auto"/>
                <w:kern w:val="0"/>
                <w:sz w:val="21"/>
                <w:szCs w:val="21"/>
                <w:u w:val="none"/>
                <w:lang w:val="en-US" w:eastAsia="zh-CN" w:bidi="ar"/>
              </w:rPr>
              <w:t>5</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14:paraId="00FB1FF9">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预安装支架</w:t>
            </w:r>
          </w:p>
        </w:tc>
        <w:tc>
          <w:tcPr>
            <w:tcW w:w="390" w:type="dxa"/>
            <w:tcBorders>
              <w:top w:val="single" w:color="000000" w:sz="4" w:space="0"/>
              <w:left w:val="single" w:color="000000" w:sz="4" w:space="0"/>
              <w:bottom w:val="single" w:color="000000" w:sz="4" w:space="0"/>
              <w:right w:val="single" w:color="000000" w:sz="4" w:space="0"/>
            </w:tcBorders>
            <w:noWrap w:val="0"/>
            <w:vAlign w:val="center"/>
          </w:tcPr>
          <w:p w14:paraId="4F5973C1">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default" w:ascii="Times New Roman" w:hAnsi="Times New Roman" w:eastAsia="仿宋_GB2312" w:cs="仿宋_GB2312"/>
                <w:i w:val="0"/>
                <w:iCs w:val="0"/>
                <w:color w:val="auto"/>
                <w:kern w:val="0"/>
                <w:sz w:val="21"/>
                <w:szCs w:val="21"/>
                <w:u w:val="none"/>
                <w:lang w:val="en-US" w:eastAsia="zh-CN" w:bidi="ar"/>
              </w:rPr>
              <w:t>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0793236">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套</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1A10293E">
            <w:pPr>
              <w:keepNext w:val="0"/>
              <w:keepLines w:val="0"/>
              <w:widowControl/>
              <w:suppressLineNumbers w:val="0"/>
              <w:ind w:left="0" w:leftChars="0" w:firstLine="0" w:firstLineChars="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后期拓展点位预装支架，支架需采用304不锈钢材质；每套包含测控终端支架、传感器支架、防水型电池盒支架各1个。</w:t>
            </w:r>
          </w:p>
        </w:tc>
        <w:tc>
          <w:tcPr>
            <w:tcW w:w="915" w:type="dxa"/>
            <w:tcBorders>
              <w:top w:val="single" w:color="000000" w:sz="4" w:space="0"/>
              <w:left w:val="single" w:color="000000" w:sz="4" w:space="0"/>
              <w:bottom w:val="single" w:color="000000" w:sz="4" w:space="0"/>
              <w:right w:val="single" w:color="000000" w:sz="4" w:space="0"/>
            </w:tcBorders>
            <w:noWrap/>
            <w:vAlign w:val="bottom"/>
          </w:tcPr>
          <w:p w14:paraId="70060A09">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p>
        </w:tc>
        <w:tc>
          <w:tcPr>
            <w:tcW w:w="1079" w:type="dxa"/>
            <w:tcBorders>
              <w:top w:val="single" w:color="000000" w:sz="4" w:space="0"/>
              <w:left w:val="single" w:color="000000" w:sz="4" w:space="0"/>
              <w:bottom w:val="single" w:color="000000" w:sz="4" w:space="0"/>
              <w:right w:val="single" w:color="000000" w:sz="4" w:space="0"/>
            </w:tcBorders>
            <w:noWrap/>
            <w:vAlign w:val="bottom"/>
          </w:tcPr>
          <w:p w14:paraId="6FB774CA">
            <w:pPr>
              <w:keepNext w:val="0"/>
              <w:keepLines w:val="0"/>
              <w:widowControl/>
              <w:suppressLineNumbers w:val="0"/>
              <w:ind w:left="0" w:leftChars="0" w:firstLine="0" w:firstLineChars="0"/>
              <w:jc w:val="center"/>
              <w:textAlignment w:val="center"/>
              <w:rPr>
                <w:rFonts w:hint="eastAsia" w:ascii="Times New Roman" w:hAnsi="Times New Roman" w:eastAsia="仿宋_GB2312" w:cs="仿宋_GB2312"/>
                <w:i w:val="0"/>
                <w:iCs w:val="0"/>
                <w:color w:val="auto"/>
                <w:kern w:val="0"/>
                <w:sz w:val="21"/>
                <w:szCs w:val="21"/>
                <w:u w:val="none"/>
                <w:lang w:val="en-US" w:eastAsia="zh-CN" w:bidi="ar"/>
              </w:rPr>
            </w:pPr>
          </w:p>
        </w:tc>
      </w:tr>
      <w:tr w14:paraId="2CE78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2407" w:type="dxa"/>
            <w:gridSpan w:val="3"/>
            <w:tcBorders>
              <w:top w:val="single" w:color="000000" w:sz="4" w:space="0"/>
              <w:left w:val="single" w:color="000000" w:sz="4" w:space="0"/>
              <w:bottom w:val="single" w:color="000000" w:sz="4" w:space="0"/>
              <w:right w:val="single" w:color="000000" w:sz="4" w:space="0"/>
            </w:tcBorders>
            <w:noWrap w:val="0"/>
            <w:vAlign w:val="center"/>
          </w:tcPr>
          <w:p w14:paraId="471E9AAE">
            <w:pPr>
              <w:keepNext w:val="0"/>
              <w:keepLines w:val="0"/>
              <w:widowControl/>
              <w:suppressLineNumbers w:val="0"/>
              <w:ind w:left="0" w:leftChars="0" w:firstLine="0" w:firstLineChars="0"/>
              <w:jc w:val="center"/>
              <w:textAlignment w:val="center"/>
              <w:rPr>
                <w:rFonts w:hint="default"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合计（含税）</w:t>
            </w:r>
          </w:p>
        </w:tc>
        <w:tc>
          <w:tcPr>
            <w:tcW w:w="6074" w:type="dxa"/>
            <w:gridSpan w:val="4"/>
            <w:tcBorders>
              <w:top w:val="single" w:color="000000" w:sz="4" w:space="0"/>
              <w:left w:val="single" w:color="000000" w:sz="4" w:space="0"/>
              <w:bottom w:val="single" w:color="000000" w:sz="4" w:space="0"/>
              <w:right w:val="single" w:color="000000" w:sz="4" w:space="0"/>
            </w:tcBorders>
            <w:noWrap w:val="0"/>
            <w:vAlign w:val="center"/>
          </w:tcPr>
          <w:p w14:paraId="21DCCDE7">
            <w:pPr>
              <w:keepNext w:val="0"/>
              <w:keepLines w:val="0"/>
              <w:widowControl/>
              <w:suppressLineNumbers w:val="0"/>
              <w:ind w:left="0" w:leftChars="0" w:firstLine="420" w:firstLineChars="20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人民币大写：           元整         小写：</w:t>
            </w:r>
          </w:p>
        </w:tc>
      </w:tr>
      <w:tr w14:paraId="1E26A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481" w:type="dxa"/>
            <w:gridSpan w:val="7"/>
            <w:tcBorders>
              <w:top w:val="single" w:color="000000" w:sz="4" w:space="0"/>
              <w:left w:val="single" w:color="000000" w:sz="4" w:space="0"/>
              <w:bottom w:val="single" w:color="000000" w:sz="4" w:space="0"/>
              <w:right w:val="single" w:color="000000" w:sz="4" w:space="0"/>
            </w:tcBorders>
            <w:noWrap w:val="0"/>
            <w:vAlign w:val="center"/>
          </w:tcPr>
          <w:p w14:paraId="404D5112">
            <w:pPr>
              <w:keepNext w:val="0"/>
              <w:keepLines w:val="0"/>
              <w:widowControl/>
              <w:suppressLineNumbers w:val="0"/>
              <w:ind w:left="0" w:leftChars="0" w:firstLine="0" w:firstLineChars="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1.包含2年数据流量费用。</w:t>
            </w:r>
          </w:p>
          <w:p w14:paraId="521CD146">
            <w:pPr>
              <w:keepNext w:val="0"/>
              <w:keepLines w:val="0"/>
              <w:widowControl/>
              <w:suppressLineNumbers w:val="0"/>
              <w:ind w:left="0" w:leftChars="0" w:firstLine="0" w:firstLineChars="0"/>
              <w:jc w:val="left"/>
              <w:textAlignment w:val="center"/>
              <w:rPr>
                <w:rFonts w:hint="eastAsia" w:ascii="Times New Roman" w:hAnsi="Times New Roman" w:eastAsia="仿宋_GB2312" w:cs="仿宋_GB2312"/>
                <w:i w:val="0"/>
                <w:iCs w:val="0"/>
                <w:color w:val="auto"/>
                <w:kern w:val="0"/>
                <w:sz w:val="21"/>
                <w:szCs w:val="21"/>
                <w:u w:val="none"/>
                <w:lang w:val="en-US" w:eastAsia="zh-CN" w:bidi="ar"/>
              </w:rPr>
            </w:pPr>
            <w:r>
              <w:rPr>
                <w:rFonts w:hint="eastAsia" w:ascii="Times New Roman" w:hAnsi="Times New Roman" w:eastAsia="仿宋_GB2312" w:cs="仿宋_GB2312"/>
                <w:i w:val="0"/>
                <w:iCs w:val="0"/>
                <w:color w:val="auto"/>
                <w:kern w:val="0"/>
                <w:sz w:val="21"/>
                <w:szCs w:val="21"/>
                <w:u w:val="none"/>
                <w:lang w:val="en-US" w:eastAsia="zh-CN" w:bidi="ar"/>
              </w:rPr>
              <w:t>2.所有产品质保2年，水质监测平台（软件）需终身免费维护、升级，平台使用年限根据招标要求。</w:t>
            </w:r>
          </w:p>
          <w:p w14:paraId="67C1E495">
            <w:pPr>
              <w:pStyle w:val="2"/>
              <w:rPr>
                <w:rFonts w:hint="eastAsia"/>
                <w:lang w:val="en-US" w:eastAsia="zh-CN"/>
              </w:rPr>
            </w:pPr>
            <w:r>
              <w:rPr>
                <w:rFonts w:hint="eastAsia" w:eastAsia="仿宋_GB2312" w:cs="仿宋_GB2312"/>
                <w:i w:val="0"/>
                <w:iCs w:val="0"/>
                <w:color w:val="auto"/>
                <w:kern w:val="0"/>
                <w:sz w:val="21"/>
                <w:szCs w:val="21"/>
                <w:u w:val="none"/>
                <w:lang w:val="en-US" w:eastAsia="zh-CN" w:bidi="ar"/>
              </w:rPr>
              <w:t>3.</w:t>
            </w:r>
            <w:r>
              <w:rPr>
                <w:rFonts w:hint="eastAsia" w:ascii="Times New Roman" w:hAnsi="Times New Roman" w:eastAsia="仿宋_GB2312" w:cs="仿宋_GB2312"/>
                <w:i w:val="0"/>
                <w:iCs w:val="0"/>
                <w:color w:val="auto"/>
                <w:kern w:val="0"/>
                <w:sz w:val="21"/>
                <w:szCs w:val="21"/>
                <w:u w:val="none"/>
                <w:lang w:val="en-US" w:eastAsia="zh-CN" w:bidi="ar"/>
              </w:rPr>
              <w:t>具体参数见技术要求</w:t>
            </w:r>
            <w:r>
              <w:rPr>
                <w:rFonts w:hint="eastAsia" w:eastAsia="仿宋_GB2312" w:cs="仿宋_GB2312"/>
                <w:i w:val="0"/>
                <w:iCs w:val="0"/>
                <w:color w:val="auto"/>
                <w:kern w:val="0"/>
                <w:sz w:val="21"/>
                <w:szCs w:val="21"/>
                <w:u w:val="none"/>
                <w:lang w:val="en-US" w:eastAsia="zh-CN" w:bidi="ar"/>
              </w:rPr>
              <w:t>。</w:t>
            </w:r>
          </w:p>
        </w:tc>
      </w:tr>
    </w:tbl>
    <w:p w14:paraId="214F2A03">
      <w:pPr>
        <w:adjustRightInd w:val="0"/>
        <w:snapToGrid w:val="0"/>
        <w:spacing w:line="312" w:lineRule="auto"/>
        <w:jc w:val="left"/>
        <w:rPr>
          <w:rFonts w:ascii="仿宋" w:hAnsi="仿宋" w:eastAsia="仿宋" w:cs="仿宋"/>
          <w:b/>
          <w:bCs/>
          <w:sz w:val="24"/>
        </w:rPr>
      </w:pPr>
    </w:p>
    <w:p w14:paraId="364066AA">
      <w:pPr>
        <w:snapToGrid w:val="0"/>
        <w:spacing w:line="360" w:lineRule="auto"/>
        <w:ind w:firstLine="480"/>
        <w:rPr>
          <w:rFonts w:ascii="仿宋" w:hAnsi="仿宋" w:eastAsia="仿宋" w:cs="仿宋"/>
          <w:sz w:val="24"/>
          <w:u w:val="single"/>
        </w:rPr>
      </w:pPr>
      <w:r>
        <w:rPr>
          <w:rFonts w:hint="eastAsia" w:ascii="仿宋" w:hAnsi="仿宋" w:eastAsia="仿宋" w:cs="仿宋"/>
          <w:sz w:val="24"/>
        </w:rPr>
        <w:t>注：</w:t>
      </w:r>
      <w:r>
        <w:rPr>
          <w:rFonts w:hint="eastAsia" w:ascii="仿宋" w:hAnsi="仿宋" w:eastAsia="仿宋" w:cs="仿宋"/>
          <w:sz w:val="24"/>
          <w:u w:val="single"/>
        </w:rPr>
        <w:t>本报价表须机打并加盖报价单位公章，手填无效。</w:t>
      </w:r>
    </w:p>
    <w:p w14:paraId="32C4B87B">
      <w:pPr>
        <w:adjustRightInd w:val="0"/>
        <w:snapToGrid w:val="0"/>
        <w:spacing w:line="312" w:lineRule="auto"/>
        <w:ind w:firstLine="3360" w:firstLineChars="1400"/>
        <w:jc w:val="left"/>
        <w:rPr>
          <w:rFonts w:ascii="仿宋" w:hAnsi="仿宋" w:eastAsia="仿宋" w:cs="仿宋"/>
          <w:b/>
          <w:bCs/>
          <w:sz w:val="24"/>
        </w:rPr>
      </w:pPr>
    </w:p>
    <w:p w14:paraId="26655032">
      <w:pPr>
        <w:adjustRightInd w:val="0"/>
        <w:snapToGrid w:val="0"/>
        <w:spacing w:line="312" w:lineRule="auto"/>
        <w:ind w:firstLine="3360" w:firstLineChars="1400"/>
        <w:jc w:val="left"/>
        <w:rPr>
          <w:rFonts w:ascii="仿宋" w:hAnsi="仿宋" w:eastAsia="仿宋" w:cs="仿宋"/>
          <w:sz w:val="24"/>
        </w:rPr>
      </w:pPr>
    </w:p>
    <w:p w14:paraId="47C5FBC1">
      <w:pPr>
        <w:adjustRightInd w:val="0"/>
        <w:snapToGrid w:val="0"/>
        <w:spacing w:line="360" w:lineRule="auto"/>
        <w:ind w:firstLine="3360" w:firstLineChars="1400"/>
        <w:jc w:val="left"/>
        <w:rPr>
          <w:rFonts w:ascii="仿宋" w:hAnsi="仿宋" w:eastAsia="仿宋" w:cs="仿宋"/>
          <w:b/>
          <w:bCs/>
          <w:sz w:val="24"/>
          <w:u w:val="single"/>
        </w:rPr>
      </w:pPr>
      <w:r>
        <w:rPr>
          <w:rFonts w:hint="eastAsia" w:ascii="仿宋" w:hAnsi="仿宋" w:eastAsia="仿宋" w:cs="仿宋"/>
          <w:sz w:val="24"/>
        </w:rPr>
        <w:t>供应商（盖公章）：</w:t>
      </w:r>
    </w:p>
    <w:p w14:paraId="700EF2D9">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 xml:space="preserve">法定代表人或被授权人（签字或盖章）： </w:t>
      </w:r>
    </w:p>
    <w:p w14:paraId="54188678">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日期：年月日</w:t>
      </w:r>
    </w:p>
    <w:p w14:paraId="098ED029">
      <w:pPr>
        <w:ind w:firstLine="482"/>
        <w:rPr>
          <w:rFonts w:ascii="仿宋" w:hAnsi="仿宋" w:eastAsia="仿宋" w:cs="仿宋"/>
          <w:bCs/>
          <w:sz w:val="32"/>
          <w:szCs w:val="32"/>
        </w:rPr>
      </w:pPr>
      <w:r>
        <w:rPr>
          <w:rFonts w:hint="eastAsia" w:ascii="仿宋" w:hAnsi="仿宋" w:eastAsia="仿宋" w:cs="仿宋"/>
          <w:b/>
          <w:bCs/>
          <w:sz w:val="24"/>
        </w:rPr>
        <w:br w:type="page"/>
      </w:r>
    </w:p>
    <w:p w14:paraId="75DD1043">
      <w:pPr>
        <w:ind w:firstLine="640"/>
        <w:rPr>
          <w:rFonts w:ascii="仿宋" w:hAnsi="仿宋" w:eastAsia="仿宋" w:cs="仿宋"/>
          <w:sz w:val="32"/>
          <w:szCs w:val="32"/>
        </w:rPr>
      </w:pPr>
      <w:r>
        <w:rPr>
          <w:rFonts w:hint="eastAsia" w:ascii="仿宋" w:hAnsi="仿宋" w:eastAsia="仿宋" w:cs="仿宋"/>
          <w:bCs/>
          <w:sz w:val="32"/>
          <w:szCs w:val="32"/>
        </w:rPr>
        <w:t>附件8</w:t>
      </w:r>
    </w:p>
    <w:p w14:paraId="41B42663">
      <w:pPr>
        <w:ind w:firstLine="720"/>
        <w:jc w:val="center"/>
        <w:rPr>
          <w:rFonts w:ascii="仿宋" w:hAnsi="仿宋" w:eastAsia="仿宋" w:cs="仿宋"/>
          <w:bCs/>
          <w:sz w:val="36"/>
          <w:szCs w:val="36"/>
        </w:rPr>
      </w:pPr>
      <w:r>
        <w:rPr>
          <w:rFonts w:hint="eastAsia" w:ascii="仿宋" w:hAnsi="仿宋" w:eastAsia="仿宋" w:cs="仿宋"/>
          <w:bCs/>
          <w:sz w:val="36"/>
          <w:szCs w:val="36"/>
        </w:rPr>
        <w:t>质疑函范本</w:t>
      </w:r>
    </w:p>
    <w:p w14:paraId="48FD37B3">
      <w:pPr>
        <w:adjustRightInd w:val="0"/>
        <w:snapToGrid w:val="0"/>
        <w:spacing w:beforeLines="100" w:line="312" w:lineRule="auto"/>
        <w:ind w:firstLine="560"/>
        <w:rPr>
          <w:rFonts w:ascii="仿宋" w:hAnsi="仿宋" w:eastAsia="仿宋" w:cs="仿宋"/>
          <w:bCs/>
          <w:sz w:val="28"/>
          <w:szCs w:val="28"/>
        </w:rPr>
      </w:pPr>
      <w:r>
        <w:rPr>
          <w:rFonts w:hint="eastAsia" w:ascii="仿宋" w:hAnsi="仿宋" w:eastAsia="仿宋" w:cs="仿宋"/>
          <w:bCs/>
          <w:sz w:val="28"/>
          <w:szCs w:val="28"/>
        </w:rPr>
        <w:t>一、质疑供应商基本信息</w:t>
      </w:r>
    </w:p>
    <w:p w14:paraId="73D5BFEB">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质疑供应商：</w:t>
      </w:r>
    </w:p>
    <w:p w14:paraId="47EB8AE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3FC8210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联系人：联系电话：</w:t>
      </w:r>
    </w:p>
    <w:p w14:paraId="1999D587">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授权代表：</w:t>
      </w:r>
    </w:p>
    <w:p w14:paraId="0AF1470E">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联系电话：</w:t>
      </w:r>
    </w:p>
    <w:p w14:paraId="36647304">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073666C9">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二、质疑项目基本情况</w:t>
      </w:r>
    </w:p>
    <w:p w14:paraId="0A5E0E00">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质疑项目的名称：</w:t>
      </w:r>
    </w:p>
    <w:p w14:paraId="69FF9429">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质疑项目的编号：包号：</w:t>
      </w:r>
    </w:p>
    <w:p w14:paraId="65B3BE42">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采购人名称：</w:t>
      </w:r>
    </w:p>
    <w:p w14:paraId="2E2888EA">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采购文件获取日期：</w:t>
      </w:r>
    </w:p>
    <w:p w14:paraId="442A1D7B">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三、质疑事项具体内容</w:t>
      </w:r>
    </w:p>
    <w:p w14:paraId="2EFF4DB9">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质疑事项1：</w:t>
      </w:r>
    </w:p>
    <w:p w14:paraId="4B2769CF">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事实依据：</w:t>
      </w:r>
    </w:p>
    <w:p w14:paraId="4511E55A">
      <w:pPr>
        <w:adjustRightInd w:val="0"/>
        <w:snapToGrid w:val="0"/>
        <w:spacing w:line="312" w:lineRule="auto"/>
        <w:ind w:firstLine="560"/>
        <w:rPr>
          <w:rFonts w:ascii="仿宋" w:hAnsi="仿宋" w:eastAsia="仿宋" w:cs="仿宋"/>
          <w:sz w:val="28"/>
          <w:szCs w:val="28"/>
        </w:rPr>
      </w:pPr>
    </w:p>
    <w:p w14:paraId="5C2D580A">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法律依据：</w:t>
      </w:r>
    </w:p>
    <w:p w14:paraId="6EEDF427">
      <w:pPr>
        <w:adjustRightInd w:val="0"/>
        <w:snapToGrid w:val="0"/>
        <w:spacing w:line="312" w:lineRule="auto"/>
        <w:ind w:firstLine="560"/>
        <w:rPr>
          <w:rFonts w:ascii="仿宋" w:hAnsi="仿宋" w:eastAsia="仿宋" w:cs="仿宋"/>
          <w:sz w:val="28"/>
          <w:szCs w:val="28"/>
          <w:u w:val="dotted"/>
        </w:rPr>
      </w:pPr>
    </w:p>
    <w:p w14:paraId="6594C15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质疑事项2</w:t>
      </w:r>
    </w:p>
    <w:p w14:paraId="6CAFA1D2">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w:t>
      </w:r>
    </w:p>
    <w:p w14:paraId="521BE9BE">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四、与质疑事项相关的质疑请求</w:t>
      </w:r>
    </w:p>
    <w:p w14:paraId="093477A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请求：</w:t>
      </w:r>
    </w:p>
    <w:p w14:paraId="688060C9">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签字(签章)：                   公章：                      </w:t>
      </w:r>
    </w:p>
    <w:p w14:paraId="09F28AF3">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日期：    </w:t>
      </w:r>
    </w:p>
    <w:p w14:paraId="58EFED53">
      <w:pPr>
        <w:adjustRightInd w:val="0"/>
        <w:snapToGrid w:val="0"/>
        <w:spacing w:line="288" w:lineRule="auto"/>
        <w:ind w:firstLine="560"/>
        <w:rPr>
          <w:rFonts w:ascii="仿宋" w:hAnsi="仿宋" w:eastAsia="仿宋" w:cs="仿宋"/>
          <w:sz w:val="28"/>
          <w:szCs w:val="28"/>
        </w:rPr>
      </w:pPr>
    </w:p>
    <w:p w14:paraId="0AAD13F4">
      <w:pPr>
        <w:rPr>
          <w:rFonts w:ascii="仿宋" w:hAnsi="仿宋" w:eastAsia="仿宋" w:cs="仿宋"/>
          <w:b/>
          <w:sz w:val="28"/>
          <w:szCs w:val="28"/>
        </w:rPr>
      </w:pPr>
      <w:r>
        <w:rPr>
          <w:rFonts w:hint="eastAsia" w:ascii="仿宋" w:hAnsi="仿宋" w:eastAsia="仿宋" w:cs="仿宋"/>
          <w:b/>
          <w:sz w:val="28"/>
          <w:szCs w:val="28"/>
        </w:rPr>
        <w:t>质疑函制作说明：</w:t>
      </w:r>
    </w:p>
    <w:p w14:paraId="7416DC10">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54FBD386">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2A38F1A5">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6487CEE7">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6948B24D">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14:paraId="04C1F0BF">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00429561">
      <w:pPr>
        <w:snapToGrid w:val="0"/>
        <w:spacing w:line="300" w:lineRule="auto"/>
        <w:ind w:firstLine="560"/>
        <w:outlineLvl w:val="0"/>
        <w:rPr>
          <w:rFonts w:ascii="仿宋" w:hAnsi="仿宋" w:eastAsia="仿宋" w:cs="仿宋"/>
          <w:sz w:val="28"/>
          <w:szCs w:val="28"/>
        </w:rPr>
      </w:pPr>
    </w:p>
    <w:p w14:paraId="0A4E4280">
      <w:pPr>
        <w:snapToGrid w:val="0"/>
        <w:spacing w:line="300" w:lineRule="auto"/>
        <w:ind w:firstLine="560"/>
        <w:outlineLvl w:val="0"/>
        <w:rPr>
          <w:rFonts w:ascii="仿宋" w:hAnsi="仿宋" w:eastAsia="仿宋" w:cs="仿宋"/>
          <w:sz w:val="28"/>
          <w:szCs w:val="28"/>
        </w:rPr>
      </w:pPr>
    </w:p>
    <w:p w14:paraId="4A925275">
      <w:pPr>
        <w:ind w:firstLine="420"/>
        <w:rPr>
          <w:rFonts w:ascii="仿宋" w:hAnsi="仿宋" w:eastAsia="仿宋" w:cs="仿宋"/>
        </w:rPr>
      </w:pPr>
    </w:p>
    <w:sectPr>
      <w:headerReference r:id="rId5" w:type="default"/>
      <w:footerReference r:id="rId6" w:type="default"/>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DDE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2466DB">
                          <w:pPr>
                            <w:pStyle w:val="13"/>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PHLc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R5q1J3DLfHSCPlSVOHEZYYJoeeMHOd1i3tyJ9+rnr8x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Y8ctzwEAAKoDAAAOAAAAAAAAAAEAIAAAAB4BAABkcnMv&#10;ZTJvRG9jLnhtbFBLBQYAAAAABgAGAFkBAABfBQAAAAA=&#10;">
              <v:fill on="f" focussize="0,0"/>
              <v:stroke on="f"/>
              <v:imagedata o:title=""/>
              <o:lock v:ext="edit" aspectratio="f"/>
              <v:textbox inset="0mm,0mm,0mm,0mm" style="mso-fit-shape-to-text:t;">
                <w:txbxContent>
                  <w:p w14:paraId="2E2466DB">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FDEF8">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BF7F02">
                          <w:pPr>
                            <w:pStyle w:val="13"/>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fyGc4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fq8Vak7+NtjxJHypKnDBIsMk4NPmLnO65Z25LGfqx5+se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tH8hnOAQAAqgMAAA4AAAAAAAAAAQAgAAAAHgEAAGRycy9l&#10;Mm9Eb2MueG1sUEsFBgAAAAAGAAYAWQEAAF4FAAAAAA==&#10;">
              <v:fill on="f" focussize="0,0"/>
              <v:stroke on="f"/>
              <v:imagedata o:title=""/>
              <o:lock v:ext="edit" aspectratio="f"/>
              <v:textbox inset="0mm,0mm,0mm,0mm" style="mso-fit-shape-to-text:t;">
                <w:txbxContent>
                  <w:p w14:paraId="37BF7F02">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8C6D6">
    <w:pPr>
      <w:pStyle w:val="13"/>
      <w:ind w:firstLine="560"/>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B594E9">
                          <w:pPr>
                            <w:pStyle w:val="13"/>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dQ5M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jyVqXuGN4cI42UJ00dRlhimBx6wsx1Wre0I3/6uerh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Pd1DkzwEAAKoDAAAOAAAAAAAAAAEAIAAAAB4BAABkcnMv&#10;ZTJvRG9jLnhtbFBLBQYAAAAABgAGAFkBAABfBQAAAAA=&#10;">
              <v:fill on="f" focussize="0,0"/>
              <v:stroke on="f"/>
              <v:imagedata o:title=""/>
              <o:lock v:ext="edit" aspectratio="f"/>
              <v:textbox inset="0mm,0mm,0mm,0mm" style="mso-fit-shape-to-text:t;">
                <w:txbxContent>
                  <w:p w14:paraId="1AB594E9">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4595D">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abstractNum w:abstractNumId="2">
    <w:nsid w:val="7BCFFD30"/>
    <w:multiLevelType w:val="singleLevel"/>
    <w:tmpl w:val="7BCFFD30"/>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Mjc1ZDcyNjZkMWJlNzdhMTk1M2VlMjJmZDg2YzQifQ=="/>
  </w:docVars>
  <w:rsids>
    <w:rsidRoot w:val="72DA44FF"/>
    <w:rsid w:val="000031BB"/>
    <w:rsid w:val="000120F6"/>
    <w:rsid w:val="00013AEC"/>
    <w:rsid w:val="00030D94"/>
    <w:rsid w:val="0004429C"/>
    <w:rsid w:val="0005603F"/>
    <w:rsid w:val="00064D65"/>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434E"/>
    <w:rsid w:val="00116193"/>
    <w:rsid w:val="00123BCF"/>
    <w:rsid w:val="0014136A"/>
    <w:rsid w:val="00151A61"/>
    <w:rsid w:val="00177C0D"/>
    <w:rsid w:val="001905C6"/>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2CAA"/>
    <w:rsid w:val="0033608F"/>
    <w:rsid w:val="003364F4"/>
    <w:rsid w:val="00367F5D"/>
    <w:rsid w:val="003709BB"/>
    <w:rsid w:val="00380875"/>
    <w:rsid w:val="003820DA"/>
    <w:rsid w:val="003A4DF6"/>
    <w:rsid w:val="003B0F20"/>
    <w:rsid w:val="003C03B5"/>
    <w:rsid w:val="003C130D"/>
    <w:rsid w:val="003C21FD"/>
    <w:rsid w:val="003C693E"/>
    <w:rsid w:val="003C76E6"/>
    <w:rsid w:val="003F2B61"/>
    <w:rsid w:val="003F4FD8"/>
    <w:rsid w:val="00421872"/>
    <w:rsid w:val="00433C8F"/>
    <w:rsid w:val="004366FE"/>
    <w:rsid w:val="004378CD"/>
    <w:rsid w:val="004444FD"/>
    <w:rsid w:val="0044663C"/>
    <w:rsid w:val="004541EF"/>
    <w:rsid w:val="0045573C"/>
    <w:rsid w:val="004570AF"/>
    <w:rsid w:val="00460E4A"/>
    <w:rsid w:val="0047403B"/>
    <w:rsid w:val="0048387C"/>
    <w:rsid w:val="00491D67"/>
    <w:rsid w:val="004A0780"/>
    <w:rsid w:val="004A7ADC"/>
    <w:rsid w:val="004C4933"/>
    <w:rsid w:val="004E23A4"/>
    <w:rsid w:val="004E5643"/>
    <w:rsid w:val="004F209B"/>
    <w:rsid w:val="004F6F7F"/>
    <w:rsid w:val="00503101"/>
    <w:rsid w:val="0050377F"/>
    <w:rsid w:val="00523E27"/>
    <w:rsid w:val="00535E2F"/>
    <w:rsid w:val="0056629C"/>
    <w:rsid w:val="00580847"/>
    <w:rsid w:val="005827AC"/>
    <w:rsid w:val="00585220"/>
    <w:rsid w:val="00590012"/>
    <w:rsid w:val="005C567C"/>
    <w:rsid w:val="005C5DCC"/>
    <w:rsid w:val="005D23AE"/>
    <w:rsid w:val="005D378A"/>
    <w:rsid w:val="005E605F"/>
    <w:rsid w:val="00602CBB"/>
    <w:rsid w:val="006050D1"/>
    <w:rsid w:val="006166DC"/>
    <w:rsid w:val="00624A21"/>
    <w:rsid w:val="00633E88"/>
    <w:rsid w:val="00635D3A"/>
    <w:rsid w:val="00664E18"/>
    <w:rsid w:val="0066601A"/>
    <w:rsid w:val="0067318C"/>
    <w:rsid w:val="006910F6"/>
    <w:rsid w:val="006937C8"/>
    <w:rsid w:val="006A3707"/>
    <w:rsid w:val="006A76F6"/>
    <w:rsid w:val="006B111D"/>
    <w:rsid w:val="006B5AD4"/>
    <w:rsid w:val="006B7CD3"/>
    <w:rsid w:val="006C7881"/>
    <w:rsid w:val="006F435E"/>
    <w:rsid w:val="006F4401"/>
    <w:rsid w:val="006F61CB"/>
    <w:rsid w:val="006F72CE"/>
    <w:rsid w:val="006F7D9B"/>
    <w:rsid w:val="0071021D"/>
    <w:rsid w:val="00711944"/>
    <w:rsid w:val="00715C56"/>
    <w:rsid w:val="00734BD1"/>
    <w:rsid w:val="007412AA"/>
    <w:rsid w:val="00747FCA"/>
    <w:rsid w:val="00750D27"/>
    <w:rsid w:val="00751867"/>
    <w:rsid w:val="00762DDD"/>
    <w:rsid w:val="0076663F"/>
    <w:rsid w:val="00793C13"/>
    <w:rsid w:val="00797820"/>
    <w:rsid w:val="007C4F8B"/>
    <w:rsid w:val="007D3386"/>
    <w:rsid w:val="007E4447"/>
    <w:rsid w:val="00803D68"/>
    <w:rsid w:val="008076E2"/>
    <w:rsid w:val="00810BD0"/>
    <w:rsid w:val="00814356"/>
    <w:rsid w:val="00852DE3"/>
    <w:rsid w:val="00893CDE"/>
    <w:rsid w:val="008B5DEC"/>
    <w:rsid w:val="008C7E7A"/>
    <w:rsid w:val="008D5924"/>
    <w:rsid w:val="008D7681"/>
    <w:rsid w:val="008E0BE7"/>
    <w:rsid w:val="008F4E65"/>
    <w:rsid w:val="009108C5"/>
    <w:rsid w:val="0091137A"/>
    <w:rsid w:val="00923838"/>
    <w:rsid w:val="009312BD"/>
    <w:rsid w:val="00975836"/>
    <w:rsid w:val="009937E8"/>
    <w:rsid w:val="009B79B1"/>
    <w:rsid w:val="009C0E7F"/>
    <w:rsid w:val="009D047A"/>
    <w:rsid w:val="009E04A4"/>
    <w:rsid w:val="009E3BB7"/>
    <w:rsid w:val="009E5F93"/>
    <w:rsid w:val="009F049D"/>
    <w:rsid w:val="009F5E2A"/>
    <w:rsid w:val="00A0044C"/>
    <w:rsid w:val="00A019A2"/>
    <w:rsid w:val="00A02BBB"/>
    <w:rsid w:val="00A23CEC"/>
    <w:rsid w:val="00A23D2F"/>
    <w:rsid w:val="00A4744A"/>
    <w:rsid w:val="00A6197F"/>
    <w:rsid w:val="00A66D3B"/>
    <w:rsid w:val="00A737C2"/>
    <w:rsid w:val="00A74783"/>
    <w:rsid w:val="00A751DC"/>
    <w:rsid w:val="00A77BDF"/>
    <w:rsid w:val="00A818AF"/>
    <w:rsid w:val="00AD3E11"/>
    <w:rsid w:val="00AE268F"/>
    <w:rsid w:val="00B16617"/>
    <w:rsid w:val="00B61542"/>
    <w:rsid w:val="00B654EA"/>
    <w:rsid w:val="00B82506"/>
    <w:rsid w:val="00B9181B"/>
    <w:rsid w:val="00BA611D"/>
    <w:rsid w:val="00BE5D54"/>
    <w:rsid w:val="00BE6F5B"/>
    <w:rsid w:val="00C00A45"/>
    <w:rsid w:val="00C01D06"/>
    <w:rsid w:val="00C01E89"/>
    <w:rsid w:val="00C20423"/>
    <w:rsid w:val="00C23DFA"/>
    <w:rsid w:val="00C26813"/>
    <w:rsid w:val="00C46100"/>
    <w:rsid w:val="00C53021"/>
    <w:rsid w:val="00C57D84"/>
    <w:rsid w:val="00C71B05"/>
    <w:rsid w:val="00C85DF0"/>
    <w:rsid w:val="00CA7382"/>
    <w:rsid w:val="00CB17F4"/>
    <w:rsid w:val="00CE346F"/>
    <w:rsid w:val="00D112D6"/>
    <w:rsid w:val="00D114FD"/>
    <w:rsid w:val="00D30BC0"/>
    <w:rsid w:val="00D3580A"/>
    <w:rsid w:val="00D42457"/>
    <w:rsid w:val="00D4662F"/>
    <w:rsid w:val="00D80457"/>
    <w:rsid w:val="00D817F3"/>
    <w:rsid w:val="00D8449B"/>
    <w:rsid w:val="00D86290"/>
    <w:rsid w:val="00D94BE9"/>
    <w:rsid w:val="00DA0E12"/>
    <w:rsid w:val="00DB0445"/>
    <w:rsid w:val="00DB4CE7"/>
    <w:rsid w:val="00DC4CB7"/>
    <w:rsid w:val="00DD0017"/>
    <w:rsid w:val="00DD0B98"/>
    <w:rsid w:val="00DD6AE4"/>
    <w:rsid w:val="00DF7C9E"/>
    <w:rsid w:val="00E0598E"/>
    <w:rsid w:val="00E12985"/>
    <w:rsid w:val="00E27C07"/>
    <w:rsid w:val="00E508FF"/>
    <w:rsid w:val="00E56192"/>
    <w:rsid w:val="00E57C52"/>
    <w:rsid w:val="00E612F6"/>
    <w:rsid w:val="00E66E9B"/>
    <w:rsid w:val="00E75BCB"/>
    <w:rsid w:val="00E946F4"/>
    <w:rsid w:val="00E97235"/>
    <w:rsid w:val="00EA05C0"/>
    <w:rsid w:val="00EA3731"/>
    <w:rsid w:val="00EA4BC5"/>
    <w:rsid w:val="00EA5A08"/>
    <w:rsid w:val="00EB4B03"/>
    <w:rsid w:val="00ED5564"/>
    <w:rsid w:val="00EE25BB"/>
    <w:rsid w:val="00EF5DB7"/>
    <w:rsid w:val="00F21BDD"/>
    <w:rsid w:val="00F34615"/>
    <w:rsid w:val="00F54BE6"/>
    <w:rsid w:val="00F7090D"/>
    <w:rsid w:val="00FC35B2"/>
    <w:rsid w:val="00FE4037"/>
    <w:rsid w:val="00FF0E7C"/>
    <w:rsid w:val="00FF2CF6"/>
    <w:rsid w:val="00FF4D3F"/>
    <w:rsid w:val="00FF6AE3"/>
    <w:rsid w:val="011B466A"/>
    <w:rsid w:val="014D0B1B"/>
    <w:rsid w:val="01DF2B34"/>
    <w:rsid w:val="01F17356"/>
    <w:rsid w:val="0221497E"/>
    <w:rsid w:val="02411B93"/>
    <w:rsid w:val="027125E7"/>
    <w:rsid w:val="03863E70"/>
    <w:rsid w:val="03951232"/>
    <w:rsid w:val="03A3046B"/>
    <w:rsid w:val="040A2CF3"/>
    <w:rsid w:val="04231D23"/>
    <w:rsid w:val="04951247"/>
    <w:rsid w:val="049525BD"/>
    <w:rsid w:val="04A15406"/>
    <w:rsid w:val="04A8035C"/>
    <w:rsid w:val="05353DA0"/>
    <w:rsid w:val="054A784B"/>
    <w:rsid w:val="055204AE"/>
    <w:rsid w:val="057B186A"/>
    <w:rsid w:val="05FA4FEA"/>
    <w:rsid w:val="06336531"/>
    <w:rsid w:val="06F207A1"/>
    <w:rsid w:val="06FA7309"/>
    <w:rsid w:val="075020E6"/>
    <w:rsid w:val="07585B24"/>
    <w:rsid w:val="075A2B50"/>
    <w:rsid w:val="078A58ED"/>
    <w:rsid w:val="08167EB9"/>
    <w:rsid w:val="08297BEC"/>
    <w:rsid w:val="083245C7"/>
    <w:rsid w:val="085A3487"/>
    <w:rsid w:val="085B79BA"/>
    <w:rsid w:val="0878647D"/>
    <w:rsid w:val="08EC29C7"/>
    <w:rsid w:val="09491BC8"/>
    <w:rsid w:val="09646A02"/>
    <w:rsid w:val="09B62700"/>
    <w:rsid w:val="09D43B87"/>
    <w:rsid w:val="0A1026E6"/>
    <w:rsid w:val="0A355414"/>
    <w:rsid w:val="0A821835"/>
    <w:rsid w:val="0A862501"/>
    <w:rsid w:val="0AE0030A"/>
    <w:rsid w:val="0B56577A"/>
    <w:rsid w:val="0B685928"/>
    <w:rsid w:val="0B700E0C"/>
    <w:rsid w:val="0BAC15BB"/>
    <w:rsid w:val="0BE70023"/>
    <w:rsid w:val="0C1C35C4"/>
    <w:rsid w:val="0C774C9E"/>
    <w:rsid w:val="0CC32F3E"/>
    <w:rsid w:val="0CC41FE6"/>
    <w:rsid w:val="0D0B79A8"/>
    <w:rsid w:val="0D15073F"/>
    <w:rsid w:val="0E211365"/>
    <w:rsid w:val="0E3B3D37"/>
    <w:rsid w:val="0E867A2B"/>
    <w:rsid w:val="0EF10D38"/>
    <w:rsid w:val="0EF45FEF"/>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6997018"/>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60457"/>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C148B0"/>
    <w:rsid w:val="24F52D0A"/>
    <w:rsid w:val="253432D4"/>
    <w:rsid w:val="256F266F"/>
    <w:rsid w:val="259C5AEB"/>
    <w:rsid w:val="25A247EC"/>
    <w:rsid w:val="26061132"/>
    <w:rsid w:val="2650413E"/>
    <w:rsid w:val="2685584E"/>
    <w:rsid w:val="268B161A"/>
    <w:rsid w:val="26EC20B9"/>
    <w:rsid w:val="271B299E"/>
    <w:rsid w:val="27294138"/>
    <w:rsid w:val="275B2D9A"/>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F0FC6"/>
    <w:rsid w:val="356203CC"/>
    <w:rsid w:val="35C52022"/>
    <w:rsid w:val="35EF72F8"/>
    <w:rsid w:val="361E2B75"/>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9320F9"/>
    <w:rsid w:val="46DF70EC"/>
    <w:rsid w:val="46F10BCE"/>
    <w:rsid w:val="47874EA9"/>
    <w:rsid w:val="47B44676"/>
    <w:rsid w:val="47F03359"/>
    <w:rsid w:val="4803701A"/>
    <w:rsid w:val="480A548C"/>
    <w:rsid w:val="480F3951"/>
    <w:rsid w:val="482E20D9"/>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A964E9"/>
    <w:rsid w:val="502D711A"/>
    <w:rsid w:val="505C3C79"/>
    <w:rsid w:val="507A635B"/>
    <w:rsid w:val="508722C5"/>
    <w:rsid w:val="5094498C"/>
    <w:rsid w:val="50B6598C"/>
    <w:rsid w:val="50D70E34"/>
    <w:rsid w:val="514207FD"/>
    <w:rsid w:val="5176064D"/>
    <w:rsid w:val="51A73905"/>
    <w:rsid w:val="51B11685"/>
    <w:rsid w:val="51C13FBE"/>
    <w:rsid w:val="52232583"/>
    <w:rsid w:val="522D179F"/>
    <w:rsid w:val="52A5743C"/>
    <w:rsid w:val="52C74869"/>
    <w:rsid w:val="53111CCF"/>
    <w:rsid w:val="53BC7CB1"/>
    <w:rsid w:val="53CA4C80"/>
    <w:rsid w:val="53DB2795"/>
    <w:rsid w:val="5402266C"/>
    <w:rsid w:val="54896BD1"/>
    <w:rsid w:val="54DB230D"/>
    <w:rsid w:val="55944C0E"/>
    <w:rsid w:val="55A90FF1"/>
    <w:rsid w:val="56097CE2"/>
    <w:rsid w:val="56206DD9"/>
    <w:rsid w:val="569752EE"/>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A510DDC"/>
    <w:rsid w:val="6A6B28C1"/>
    <w:rsid w:val="6AF059AE"/>
    <w:rsid w:val="6B1B7E43"/>
    <w:rsid w:val="6B442F1F"/>
    <w:rsid w:val="6B59096C"/>
    <w:rsid w:val="6C2E3BA6"/>
    <w:rsid w:val="6C3E00B2"/>
    <w:rsid w:val="6C892CE1"/>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A54994"/>
    <w:rsid w:val="73CB43D1"/>
    <w:rsid w:val="73CB6DD9"/>
    <w:rsid w:val="73DC213A"/>
    <w:rsid w:val="73E01848"/>
    <w:rsid w:val="74116287"/>
    <w:rsid w:val="742762A4"/>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763BE9"/>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3"/>
    <w:autoRedefine/>
    <w:qFormat/>
    <w:uiPriority w:val="0"/>
    <w:pPr>
      <w:keepNext/>
      <w:keepLines/>
      <w:widowControl/>
      <w:adjustRightInd w:val="0"/>
      <w:snapToGrid w:val="0"/>
      <w:spacing w:line="500" w:lineRule="exact"/>
      <w:jc w:val="center"/>
      <w:outlineLvl w:val="0"/>
    </w:pPr>
    <w:rPr>
      <w:rFonts w:ascii="Times New Roman" w:hAnsi="Times New Roman"/>
      <w:b/>
      <w:kern w:val="44"/>
      <w:sz w:val="44"/>
      <w:szCs w:val="20"/>
    </w:rPr>
  </w:style>
  <w:style w:type="paragraph" w:styleId="4">
    <w:name w:val="heading 2"/>
    <w:basedOn w:val="1"/>
    <w:next w:val="1"/>
    <w:autoRedefine/>
    <w:qFormat/>
    <w:uiPriority w:val="0"/>
    <w:pPr>
      <w:keepNext/>
      <w:keepLines/>
      <w:spacing w:line="360" w:lineRule="auto"/>
      <w:ind w:firstLine="1680" w:firstLineChars="200"/>
      <w:jc w:val="left"/>
      <w:outlineLvl w:val="1"/>
    </w:pPr>
    <w:rPr>
      <w:rFonts w:ascii="Cambria" w:hAnsi="Cambria"/>
      <w:b/>
      <w:bCs/>
      <w:kern w:val="0"/>
      <w:sz w:val="32"/>
      <w:szCs w:val="32"/>
    </w:rPr>
  </w:style>
  <w:style w:type="paragraph" w:styleId="5">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6">
    <w:name w:val="heading 4"/>
    <w:basedOn w:val="1"/>
    <w:next w:val="1"/>
    <w:autoRedefine/>
    <w:qFormat/>
    <w:uiPriority w:val="0"/>
    <w:pPr>
      <w:keepNext/>
      <w:jc w:val="center"/>
      <w:outlineLvl w:val="3"/>
    </w:pPr>
    <w:rPr>
      <w:rFonts w:eastAsia="新宋体"/>
      <w:kern w:val="0"/>
      <w:sz w:val="30"/>
      <w:szCs w:val="21"/>
    </w:rPr>
  </w:style>
  <w:style w:type="paragraph" w:styleId="7">
    <w:name w:val="heading 6"/>
    <w:basedOn w:val="1"/>
    <w:next w:val="8"/>
    <w:autoRedefine/>
    <w:qFormat/>
    <w:uiPriority w:val="0"/>
    <w:pPr>
      <w:keepNext/>
      <w:jc w:val="center"/>
      <w:outlineLvl w:val="5"/>
    </w:pPr>
    <w:rPr>
      <w:b/>
      <w:kern w:val="0"/>
      <w:sz w:val="4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szCs w:val="20"/>
    </w:rPr>
  </w:style>
  <w:style w:type="paragraph" w:styleId="8">
    <w:name w:val="Normal Indent"/>
    <w:basedOn w:val="1"/>
    <w:autoRedefine/>
    <w:qFormat/>
    <w:uiPriority w:val="0"/>
    <w:pPr>
      <w:ind w:firstLine="420"/>
    </w:pPr>
    <w:rPr>
      <w:rFonts w:ascii="Times New Roman" w:hAnsi="Times New Roman"/>
      <w:kern w:val="0"/>
      <w:sz w:val="20"/>
      <w:szCs w:val="20"/>
    </w:rPr>
  </w:style>
  <w:style w:type="paragraph" w:styleId="9">
    <w:name w:val="Document Map"/>
    <w:basedOn w:val="1"/>
    <w:link w:val="44"/>
    <w:autoRedefine/>
    <w:semiHidden/>
    <w:unhideWhenUsed/>
    <w:qFormat/>
    <w:uiPriority w:val="0"/>
    <w:rPr>
      <w:rFonts w:ascii="Microsoft YaHei UI" w:eastAsia="Microsoft YaHei UI"/>
      <w:sz w:val="18"/>
      <w:szCs w:val="18"/>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footer"/>
    <w:basedOn w:val="1"/>
    <w:link w:val="41"/>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6">
    <w:name w:val="Body Text First Indent"/>
    <w:basedOn w:val="2"/>
    <w:autoRedefine/>
    <w:qFormat/>
    <w:uiPriority w:val="0"/>
    <w:pPr>
      <w:ind w:firstLine="420" w:firstLineChars="100"/>
    </w:pPr>
  </w:style>
  <w:style w:type="paragraph" w:styleId="17">
    <w:name w:val="Body Text First Indent 2"/>
    <w:basedOn w:val="10"/>
    <w:next w:val="1"/>
    <w:autoRedefine/>
    <w:qFormat/>
    <w:uiPriority w:val="0"/>
    <w:pPr>
      <w:spacing w:after="120"/>
      <w:ind w:firstLine="420" w:firstLineChars="200"/>
    </w:pPr>
    <w:rPr>
      <w:rFonts w:ascii="Times New Roman" w:hAnsi="Times New Roman"/>
      <w:szCs w:val="20"/>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autoRedefine/>
    <w:qFormat/>
    <w:uiPriority w:val="0"/>
    <w:rPr>
      <w:color w:val="800080"/>
      <w:u w:val="none"/>
    </w:rPr>
  </w:style>
  <w:style w:type="character" w:styleId="22">
    <w:name w:val="HTML Definition"/>
    <w:basedOn w:val="20"/>
    <w:autoRedefine/>
    <w:qFormat/>
    <w:uiPriority w:val="0"/>
  </w:style>
  <w:style w:type="character" w:styleId="23">
    <w:name w:val="HTML Typewriter"/>
    <w:basedOn w:val="20"/>
    <w:autoRedefine/>
    <w:qFormat/>
    <w:uiPriority w:val="0"/>
    <w:rPr>
      <w:rFonts w:hint="default" w:ascii="monospace" w:hAnsi="monospace" w:eastAsia="monospace" w:cs="monospace"/>
      <w:sz w:val="20"/>
    </w:rPr>
  </w:style>
  <w:style w:type="character" w:styleId="24">
    <w:name w:val="HTML Acronym"/>
    <w:basedOn w:val="20"/>
    <w:autoRedefine/>
    <w:qFormat/>
    <w:uiPriority w:val="0"/>
  </w:style>
  <w:style w:type="character" w:styleId="25">
    <w:name w:val="HTML Variable"/>
    <w:basedOn w:val="20"/>
    <w:autoRedefine/>
    <w:qFormat/>
    <w:uiPriority w:val="0"/>
  </w:style>
  <w:style w:type="character" w:styleId="26">
    <w:name w:val="Hyperlink"/>
    <w:basedOn w:val="20"/>
    <w:autoRedefine/>
    <w:qFormat/>
    <w:uiPriority w:val="0"/>
    <w:rPr>
      <w:color w:val="0000FF"/>
      <w:u w:val="none"/>
    </w:rPr>
  </w:style>
  <w:style w:type="character" w:styleId="27">
    <w:name w:val="HTML Code"/>
    <w:basedOn w:val="20"/>
    <w:autoRedefine/>
    <w:qFormat/>
    <w:uiPriority w:val="0"/>
    <w:rPr>
      <w:rFonts w:ascii="monospace" w:hAnsi="monospace" w:eastAsia="monospace" w:cs="monospace"/>
      <w:sz w:val="20"/>
    </w:rPr>
  </w:style>
  <w:style w:type="character" w:styleId="28">
    <w:name w:val="HTML Cite"/>
    <w:basedOn w:val="20"/>
    <w:autoRedefine/>
    <w:qFormat/>
    <w:uiPriority w:val="0"/>
  </w:style>
  <w:style w:type="character" w:styleId="29">
    <w:name w:val="HTML Keyboard"/>
    <w:basedOn w:val="20"/>
    <w:autoRedefine/>
    <w:qFormat/>
    <w:uiPriority w:val="0"/>
    <w:rPr>
      <w:rFonts w:hint="default" w:ascii="monospace" w:hAnsi="monospace" w:eastAsia="monospace" w:cs="monospace"/>
      <w:sz w:val="20"/>
    </w:rPr>
  </w:style>
  <w:style w:type="character" w:styleId="30">
    <w:name w:val="HTML Sample"/>
    <w:basedOn w:val="20"/>
    <w:autoRedefine/>
    <w:qFormat/>
    <w:uiPriority w:val="0"/>
    <w:rPr>
      <w:rFonts w:hint="default" w:ascii="monospace" w:hAnsi="monospace" w:eastAsia="monospace" w:cs="monospace"/>
    </w:rPr>
  </w:style>
  <w:style w:type="paragraph" w:customStyle="1" w:styleId="31">
    <w:name w:val="*正文"/>
    <w:basedOn w:val="1"/>
    <w:autoRedefine/>
    <w:qFormat/>
    <w:uiPriority w:val="0"/>
    <w:rPr>
      <w:rFonts w:ascii="宋体" w:hAnsi="宋体"/>
      <w:kern w:val="0"/>
    </w:rPr>
  </w:style>
  <w:style w:type="paragraph" w:customStyle="1" w:styleId="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4">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5">
    <w:name w:val="first-child"/>
    <w:basedOn w:val="20"/>
    <w:autoRedefine/>
    <w:qFormat/>
    <w:uiPriority w:val="0"/>
  </w:style>
  <w:style w:type="character" w:customStyle="1" w:styleId="36">
    <w:name w:val="hover2"/>
    <w:basedOn w:val="20"/>
    <w:autoRedefine/>
    <w:qFormat/>
    <w:uiPriority w:val="0"/>
    <w:rPr>
      <w:color w:val="5FB878"/>
    </w:rPr>
  </w:style>
  <w:style w:type="character" w:customStyle="1" w:styleId="37">
    <w:name w:val="hover3"/>
    <w:basedOn w:val="20"/>
    <w:autoRedefine/>
    <w:qFormat/>
    <w:uiPriority w:val="0"/>
    <w:rPr>
      <w:color w:val="5FB878"/>
    </w:rPr>
  </w:style>
  <w:style w:type="character" w:customStyle="1" w:styleId="38">
    <w:name w:val="hover4"/>
    <w:basedOn w:val="20"/>
    <w:autoRedefine/>
    <w:qFormat/>
    <w:uiPriority w:val="0"/>
    <w:rPr>
      <w:color w:val="FFFFFF"/>
    </w:rPr>
  </w:style>
  <w:style w:type="character" w:customStyle="1" w:styleId="39">
    <w:name w:val="layui-this"/>
    <w:basedOn w:val="20"/>
    <w:autoRedefine/>
    <w:qFormat/>
    <w:uiPriority w:val="0"/>
    <w:rPr>
      <w:bdr w:val="single" w:color="EEEEEE" w:sz="6" w:space="0"/>
      <w:shd w:val="clear" w:color="auto" w:fill="FFFFFF"/>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1">
    <w:name w:val="页脚 Char"/>
    <w:basedOn w:val="20"/>
    <w:link w:val="13"/>
    <w:autoRedefine/>
    <w:qFormat/>
    <w:uiPriority w:val="99"/>
    <w:rPr>
      <w:rFonts w:ascii="Calibri" w:hAnsi="Calibri"/>
      <w:kern w:val="2"/>
      <w:sz w:val="18"/>
      <w:szCs w:val="24"/>
    </w:rPr>
  </w:style>
  <w:style w:type="paragraph" w:styleId="42">
    <w:name w:val="List Paragraph"/>
    <w:basedOn w:val="1"/>
    <w:autoRedefine/>
    <w:qFormat/>
    <w:uiPriority w:val="99"/>
    <w:pPr>
      <w:ind w:firstLine="420" w:firstLineChars="200"/>
    </w:pPr>
  </w:style>
  <w:style w:type="character" w:customStyle="1" w:styleId="43">
    <w:name w:val="标题 1 Char"/>
    <w:link w:val="3"/>
    <w:autoRedefine/>
    <w:qFormat/>
    <w:uiPriority w:val="0"/>
    <w:rPr>
      <w:b/>
      <w:kern w:val="44"/>
      <w:sz w:val="44"/>
    </w:rPr>
  </w:style>
  <w:style w:type="character" w:customStyle="1" w:styleId="44">
    <w:name w:val="文档结构图 Char"/>
    <w:basedOn w:val="20"/>
    <w:link w:val="9"/>
    <w:autoRedefine/>
    <w:semiHidden/>
    <w:qFormat/>
    <w:uiPriority w:val="0"/>
    <w:rPr>
      <w:rFonts w:ascii="Microsoft YaHei UI" w:hAnsi="Calibri" w:eastAsia="Microsoft YaHei UI"/>
      <w:kern w:val="2"/>
      <w:sz w:val="18"/>
      <w:szCs w:val="18"/>
    </w:rPr>
  </w:style>
  <w:style w:type="character" w:customStyle="1" w:styleId="45">
    <w:name w:val="font21"/>
    <w:basedOn w:val="20"/>
    <w:autoRedefine/>
    <w:qFormat/>
    <w:uiPriority w:val="0"/>
    <w:rPr>
      <w:rFonts w:hint="eastAsia" w:ascii="微软雅黑" w:hAnsi="微软雅黑" w:eastAsia="微软雅黑" w:cs="微软雅黑"/>
      <w:color w:val="000000"/>
      <w:sz w:val="20"/>
      <w:szCs w:val="20"/>
      <w:u w:val="none"/>
    </w:rPr>
  </w:style>
  <w:style w:type="character" w:customStyle="1" w:styleId="46">
    <w:name w:val="font41"/>
    <w:basedOn w:val="20"/>
    <w:autoRedefine/>
    <w:qFormat/>
    <w:uiPriority w:val="0"/>
    <w:rPr>
      <w:rFonts w:ascii="Arial" w:hAnsi="Arial" w:cs="Arial"/>
      <w:color w:val="000000"/>
      <w:sz w:val="20"/>
      <w:szCs w:val="20"/>
      <w:u w:val="none"/>
    </w:rPr>
  </w:style>
  <w:style w:type="character" w:customStyle="1" w:styleId="47">
    <w:name w:val="NormalCharacter"/>
    <w:autoRedefine/>
    <w:qFormat/>
    <w:uiPriority w:val="99"/>
  </w:style>
  <w:style w:type="paragraph" w:customStyle="1" w:styleId="48">
    <w:name w:val="HtmlNormal"/>
    <w:basedOn w:val="1"/>
    <w:autoRedefine/>
    <w:qFormat/>
    <w:uiPriority w:val="0"/>
    <w:pPr>
      <w:jc w:val="left"/>
    </w:pPr>
    <w:rPr>
      <w:kern w:val="0"/>
      <w:sz w:val="24"/>
    </w:rPr>
  </w:style>
  <w:style w:type="paragraph" w:customStyle="1" w:styleId="49">
    <w:name w:val="样式 正文格式 + 行距: 多倍行距 1.25 字行"/>
    <w:basedOn w:val="50"/>
    <w:autoRedefine/>
    <w:qFormat/>
    <w:uiPriority w:val="0"/>
    <w:pPr>
      <w:spacing w:line="300" w:lineRule="auto"/>
    </w:pPr>
    <w:rPr>
      <w:rFonts w:cs="宋体"/>
    </w:rPr>
  </w:style>
  <w:style w:type="paragraph" w:customStyle="1" w:styleId="50">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1">
    <w:name w:val="font11"/>
    <w:basedOn w:val="20"/>
    <w:autoRedefine/>
    <w:qFormat/>
    <w:uiPriority w:val="0"/>
    <w:rPr>
      <w:rFonts w:hint="eastAsia" w:ascii="宋体" w:hAnsi="宋体" w:eastAsia="宋体" w:cs="宋体"/>
      <w:color w:val="000000"/>
      <w:sz w:val="24"/>
      <w:szCs w:val="24"/>
      <w:u w:val="none"/>
    </w:rPr>
  </w:style>
  <w:style w:type="paragraph" w:customStyle="1" w:styleId="52">
    <w:name w:val="Table Text"/>
    <w:basedOn w:val="1"/>
    <w:autoRedefine/>
    <w:semiHidden/>
    <w:qFormat/>
    <w:uiPriority w:val="0"/>
    <w:rPr>
      <w:rFonts w:ascii="微软雅黑" w:hAnsi="微软雅黑" w:eastAsia="微软雅黑" w:cs="微软雅黑"/>
      <w:sz w:val="19"/>
      <w:szCs w:val="19"/>
    </w:rPr>
  </w:style>
  <w:style w:type="table" w:customStyle="1" w:styleId="5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12673</Words>
  <Characters>13287</Characters>
  <Lines>12</Lines>
  <Paragraphs>26</Paragraphs>
  <TotalTime>6</TotalTime>
  <ScaleCrop>false</ScaleCrop>
  <LinksUpToDate>false</LinksUpToDate>
  <CharactersWithSpaces>13853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企业用户_423723842</cp:lastModifiedBy>
  <cp:lastPrinted>2024-03-01T08:31:00Z</cp:lastPrinted>
  <dcterms:modified xsi:type="dcterms:W3CDTF">2024-12-02T02:03:20Z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F796B29863C74F34A7E610B94AEA3596_13</vt:lpwstr>
  </property>
</Properties>
</file>