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启东市吕四污水处理有限公司氧化沟氯离子在线仪表采购安装项目询价表</w:t>
      </w:r>
    </w:p>
    <w:tbl>
      <w:tblPr>
        <w:tblStyle w:val="8"/>
        <w:tblpPr w:leftFromText="180" w:rightFromText="180" w:vertAnchor="text" w:horzAnchor="page" w:tblpX="2032" w:tblpY="1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093"/>
        <w:gridCol w:w="4045"/>
        <w:gridCol w:w="1695"/>
        <w:gridCol w:w="1380"/>
        <w:gridCol w:w="1425"/>
        <w:gridCol w:w="1401"/>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21" w:type="dxa"/>
            <w:vAlign w:val="center"/>
          </w:tcPr>
          <w:p>
            <w:pPr>
              <w:numPr>
                <w:ilvl w:val="0"/>
                <w:numId w:val="0"/>
              </w:numPr>
              <w:tabs>
                <w:tab w:val="left" w:pos="1470"/>
              </w:tabs>
              <w:jc w:val="center"/>
              <w:rPr>
                <w:rFonts w:hint="default"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序号</w:t>
            </w:r>
          </w:p>
        </w:tc>
        <w:tc>
          <w:tcPr>
            <w:tcW w:w="1093" w:type="dxa"/>
            <w:vAlign w:val="center"/>
          </w:tcPr>
          <w:p>
            <w:pPr>
              <w:numPr>
                <w:ilvl w:val="0"/>
                <w:numId w:val="0"/>
              </w:numPr>
              <w:tabs>
                <w:tab w:val="left" w:pos="1470"/>
              </w:tabs>
              <w:jc w:val="center"/>
              <w:rPr>
                <w:rFonts w:hint="default"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项目名称</w:t>
            </w:r>
          </w:p>
        </w:tc>
        <w:tc>
          <w:tcPr>
            <w:tcW w:w="4045" w:type="dxa"/>
            <w:vAlign w:val="center"/>
          </w:tcPr>
          <w:p>
            <w:pPr>
              <w:numPr>
                <w:ilvl w:val="0"/>
                <w:numId w:val="0"/>
              </w:numPr>
              <w:tabs>
                <w:tab w:val="left" w:pos="1470"/>
              </w:tabs>
              <w:jc w:val="center"/>
              <w:rPr>
                <w:rFonts w:hint="default"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主要参数</w:t>
            </w:r>
          </w:p>
        </w:tc>
        <w:tc>
          <w:tcPr>
            <w:tcW w:w="1695" w:type="dxa"/>
            <w:vAlign w:val="center"/>
          </w:tcPr>
          <w:p>
            <w:pPr>
              <w:numPr>
                <w:ilvl w:val="0"/>
                <w:numId w:val="0"/>
              </w:numPr>
              <w:tabs>
                <w:tab w:val="left" w:pos="1470"/>
              </w:tabs>
              <w:jc w:val="center"/>
              <w:rPr>
                <w:rFonts w:hint="default"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参考品牌</w:t>
            </w:r>
          </w:p>
        </w:tc>
        <w:tc>
          <w:tcPr>
            <w:tcW w:w="1380" w:type="dxa"/>
            <w:vAlign w:val="center"/>
          </w:tcPr>
          <w:p>
            <w:pPr>
              <w:numPr>
                <w:ilvl w:val="0"/>
                <w:numId w:val="0"/>
              </w:numPr>
              <w:tabs>
                <w:tab w:val="left" w:pos="1470"/>
              </w:tabs>
              <w:jc w:val="center"/>
              <w:rPr>
                <w:rFonts w:hint="default"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数量</w:t>
            </w:r>
          </w:p>
        </w:tc>
        <w:tc>
          <w:tcPr>
            <w:tcW w:w="1425" w:type="dxa"/>
            <w:vAlign w:val="center"/>
          </w:tcPr>
          <w:p>
            <w:pPr>
              <w:numPr>
                <w:ilvl w:val="0"/>
                <w:numId w:val="0"/>
              </w:numPr>
              <w:tabs>
                <w:tab w:val="left" w:pos="1470"/>
              </w:tabs>
              <w:jc w:val="center"/>
              <w:rPr>
                <w:rFonts w:hint="default"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单价（元）</w:t>
            </w:r>
          </w:p>
        </w:tc>
        <w:tc>
          <w:tcPr>
            <w:tcW w:w="1401" w:type="dxa"/>
            <w:vAlign w:val="center"/>
          </w:tcPr>
          <w:p>
            <w:pPr>
              <w:numPr>
                <w:ilvl w:val="0"/>
                <w:numId w:val="0"/>
              </w:numPr>
              <w:tabs>
                <w:tab w:val="left" w:pos="1470"/>
              </w:tabs>
              <w:jc w:val="center"/>
              <w:rPr>
                <w:rFonts w:hint="default"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总价（元）</w:t>
            </w:r>
          </w:p>
        </w:tc>
        <w:tc>
          <w:tcPr>
            <w:tcW w:w="1716" w:type="dxa"/>
            <w:vAlign w:val="center"/>
          </w:tcPr>
          <w:p>
            <w:pPr>
              <w:numPr>
                <w:ilvl w:val="0"/>
                <w:numId w:val="0"/>
              </w:numPr>
              <w:tabs>
                <w:tab w:val="left" w:pos="1470"/>
              </w:tabs>
              <w:jc w:val="center"/>
              <w:rPr>
                <w:rFonts w:hint="default"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numPr>
                <w:ilvl w:val="0"/>
                <w:numId w:val="0"/>
              </w:numPr>
              <w:tabs>
                <w:tab w:val="left" w:pos="1470"/>
              </w:tabs>
              <w:jc w:val="center"/>
              <w:rPr>
                <w:rFonts w:hint="default"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1</w:t>
            </w:r>
          </w:p>
        </w:tc>
        <w:tc>
          <w:tcPr>
            <w:tcW w:w="1093" w:type="dxa"/>
            <w:vAlign w:val="center"/>
          </w:tcPr>
          <w:p>
            <w:pPr>
              <w:numPr>
                <w:ilvl w:val="0"/>
                <w:numId w:val="0"/>
              </w:numPr>
              <w:tabs>
                <w:tab w:val="left" w:pos="1470"/>
              </w:tabs>
              <w:jc w:val="center"/>
              <w:rPr>
                <w:rFonts w:hint="default"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氯离子在线仪表</w:t>
            </w:r>
          </w:p>
        </w:tc>
        <w:tc>
          <w:tcPr>
            <w:tcW w:w="4045" w:type="dxa"/>
            <w:vAlign w:val="center"/>
          </w:tcPr>
          <w:p>
            <w:pPr>
              <w:rPr>
                <w:rFonts w:hint="default"/>
                <w:lang w:val="en-US" w:eastAsia="zh-CN"/>
              </w:rPr>
            </w:pPr>
            <w:r>
              <w:rPr>
                <w:rFonts w:hint="default"/>
                <w:lang w:val="en-US" w:eastAsia="zh-CN"/>
              </w:rPr>
              <w:t>量程</w:t>
            </w:r>
            <w:r>
              <w:rPr>
                <w:rFonts w:hint="eastAsia"/>
                <w:lang w:val="en-US" w:eastAsia="zh-CN"/>
              </w:rPr>
              <w:t>：</w:t>
            </w:r>
            <w:r>
              <w:rPr>
                <w:rFonts w:hint="default"/>
                <w:lang w:val="en-US" w:eastAsia="zh-CN"/>
              </w:rPr>
              <w:t>至少0~10000mg/L</w:t>
            </w:r>
          </w:p>
          <w:p>
            <w:pPr>
              <w:rPr>
                <w:rFonts w:hint="default"/>
                <w:lang w:val="en-US" w:eastAsia="zh-CN"/>
              </w:rPr>
            </w:pPr>
            <w:r>
              <w:rPr>
                <w:rFonts w:hint="default"/>
                <w:lang w:val="en-US" w:eastAsia="zh-CN"/>
              </w:rPr>
              <w:t>电源</w:t>
            </w:r>
            <w:r>
              <w:rPr>
                <w:rFonts w:hint="eastAsia"/>
                <w:lang w:val="en-US" w:eastAsia="zh-CN"/>
              </w:rPr>
              <w:t>：</w:t>
            </w:r>
            <w:r>
              <w:rPr>
                <w:rFonts w:hint="default"/>
                <w:lang w:val="en-US" w:eastAsia="zh-CN"/>
              </w:rPr>
              <w:t>AC220V</w:t>
            </w:r>
          </w:p>
          <w:p>
            <w:pPr>
              <w:rPr>
                <w:rFonts w:hint="default"/>
                <w:lang w:val="en-US" w:eastAsia="zh-CN"/>
              </w:rPr>
            </w:pPr>
            <w:r>
              <w:rPr>
                <w:rFonts w:hint="default"/>
                <w:lang w:val="en-US" w:eastAsia="zh-CN"/>
              </w:rPr>
              <w:t>输出电流</w:t>
            </w:r>
            <w:r>
              <w:rPr>
                <w:rFonts w:hint="eastAsia"/>
                <w:lang w:val="en-US" w:eastAsia="zh-CN"/>
              </w:rPr>
              <w:t>：</w:t>
            </w:r>
            <w:r>
              <w:rPr>
                <w:rFonts w:hint="default"/>
                <w:lang w:val="en-US" w:eastAsia="zh-CN"/>
              </w:rPr>
              <w:t>4-20mA</w:t>
            </w:r>
          </w:p>
          <w:p>
            <w:pPr>
              <w:rPr>
                <w:rFonts w:hint="default"/>
                <w:lang w:val="en-US" w:eastAsia="zh-CN"/>
              </w:rPr>
            </w:pPr>
            <w:r>
              <w:rPr>
                <w:rFonts w:hint="default"/>
                <w:lang w:val="en-US" w:eastAsia="zh-CN"/>
              </w:rPr>
              <w:t>温度补偿</w:t>
            </w:r>
            <w:r>
              <w:rPr>
                <w:rFonts w:hint="eastAsia"/>
                <w:lang w:val="en-US" w:eastAsia="zh-CN"/>
              </w:rPr>
              <w:t>：自</w:t>
            </w:r>
            <w:r>
              <w:rPr>
                <w:rFonts w:hint="default"/>
                <w:lang w:val="en-US" w:eastAsia="zh-CN"/>
              </w:rPr>
              <w:t>动-10℃~130℃</w:t>
            </w:r>
          </w:p>
          <w:p>
            <w:pPr>
              <w:rPr>
                <w:rFonts w:hint="default"/>
                <w:lang w:val="en-US" w:eastAsia="zh-CN"/>
              </w:rPr>
            </w:pPr>
            <w:r>
              <w:rPr>
                <w:rFonts w:hint="default"/>
                <w:lang w:val="en-US" w:eastAsia="zh-CN"/>
              </w:rPr>
              <w:t>防护等级</w:t>
            </w:r>
            <w:r>
              <w:rPr>
                <w:rFonts w:hint="eastAsia"/>
                <w:lang w:val="en-US" w:eastAsia="zh-CN"/>
              </w:rPr>
              <w:t>：</w:t>
            </w:r>
            <w:r>
              <w:rPr>
                <w:rFonts w:hint="default"/>
                <w:lang w:val="en-US" w:eastAsia="zh-CN"/>
              </w:rPr>
              <w:t>IP65</w:t>
            </w:r>
          </w:p>
          <w:p>
            <w:pPr>
              <w:rPr>
                <w:rFonts w:hint="default"/>
                <w:lang w:val="en-US" w:eastAsia="zh-CN"/>
              </w:rPr>
            </w:pPr>
            <w:r>
              <w:rPr>
                <w:rFonts w:hint="default"/>
                <w:lang w:val="en-US" w:eastAsia="zh-CN"/>
              </w:rPr>
              <w:t>通讯协议</w:t>
            </w:r>
            <w:r>
              <w:rPr>
                <w:rFonts w:hint="eastAsia"/>
                <w:lang w:val="en-US" w:eastAsia="zh-CN"/>
              </w:rPr>
              <w:t>：</w:t>
            </w:r>
            <w:r>
              <w:rPr>
                <w:rFonts w:hint="default"/>
                <w:lang w:val="en-US" w:eastAsia="zh-CN"/>
              </w:rPr>
              <w:t>需支持MODBUS-RTU标准协定</w:t>
            </w:r>
          </w:p>
          <w:p>
            <w:pPr>
              <w:rPr>
                <w:rFonts w:hint="default"/>
                <w:lang w:val="en-US" w:eastAsia="zh-CN"/>
              </w:rPr>
            </w:pPr>
            <w:r>
              <w:rPr>
                <w:rFonts w:hint="default"/>
                <w:lang w:val="en-US" w:eastAsia="zh-CN"/>
              </w:rPr>
              <w:t>304不锈钢仪表箱</w:t>
            </w:r>
            <w:r>
              <w:rPr>
                <w:rFonts w:hint="default"/>
                <w:lang w:val="en-US" w:eastAsia="zh-CN"/>
              </w:rPr>
              <w:tab/>
            </w:r>
            <w:r>
              <w:rPr>
                <w:rFonts w:hint="default"/>
                <w:lang w:val="en-US" w:eastAsia="zh-CN"/>
              </w:rPr>
              <w:t>与安装仪表配套</w:t>
            </w:r>
          </w:p>
          <w:p>
            <w:pPr>
              <w:numPr>
                <w:ilvl w:val="0"/>
                <w:numId w:val="0"/>
              </w:numPr>
              <w:tabs>
                <w:tab w:val="left" w:pos="1470"/>
              </w:tabs>
              <w:jc w:val="center"/>
              <w:rPr>
                <w:rFonts w:hint="eastAsia" w:ascii="仿宋" w:hAnsi="仿宋" w:eastAsia="仿宋" w:cs="仿宋"/>
                <w:i w:val="0"/>
                <w:iCs w:val="0"/>
                <w:color w:val="000000"/>
                <w:kern w:val="0"/>
                <w:sz w:val="24"/>
                <w:szCs w:val="24"/>
                <w:lang w:val="en-US" w:eastAsia="zh-CN" w:bidi="ar"/>
              </w:rPr>
            </w:pPr>
          </w:p>
        </w:tc>
        <w:tc>
          <w:tcPr>
            <w:tcW w:w="1695" w:type="dxa"/>
            <w:vAlign w:val="center"/>
          </w:tcPr>
          <w:p>
            <w:pPr>
              <w:numPr>
                <w:ilvl w:val="0"/>
                <w:numId w:val="0"/>
              </w:numPr>
              <w:tabs>
                <w:tab w:val="left" w:pos="1470"/>
              </w:tabs>
              <w:jc w:val="cente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上海诺舟</w:t>
            </w:r>
          </w:p>
          <w:p>
            <w:pPr>
              <w:numPr>
                <w:ilvl w:val="0"/>
                <w:numId w:val="0"/>
              </w:numPr>
              <w:tabs>
                <w:tab w:val="left" w:pos="1470"/>
              </w:tabs>
              <w:jc w:val="cente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上海坤亭</w:t>
            </w:r>
          </w:p>
          <w:p>
            <w:pPr>
              <w:numPr>
                <w:ilvl w:val="0"/>
                <w:numId w:val="0"/>
              </w:numPr>
              <w:tabs>
                <w:tab w:val="left" w:pos="1470"/>
              </w:tabs>
              <w:jc w:val="center"/>
              <w:rPr>
                <w:rFonts w:hint="eastAsia" w:ascii="仿宋" w:hAnsi="仿宋" w:eastAsia="仿宋" w:cs="仿宋"/>
                <w:i w:val="0"/>
                <w:iCs w:val="0"/>
                <w:color w:val="E7E6E6" w:themeColor="background2"/>
                <w:kern w:val="0"/>
                <w:sz w:val="24"/>
                <w:szCs w:val="24"/>
                <w:lang w:val="en-US" w:eastAsia="zh-CN" w:bidi="ar"/>
                <w14:textFill>
                  <w14:solidFill>
                    <w14:schemeClr w14:val="bg2"/>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上海斯巴克</w:t>
            </w:r>
          </w:p>
        </w:tc>
        <w:tc>
          <w:tcPr>
            <w:tcW w:w="1380" w:type="dxa"/>
            <w:vAlign w:val="center"/>
          </w:tcPr>
          <w:p>
            <w:pPr>
              <w:numPr>
                <w:ilvl w:val="0"/>
                <w:numId w:val="0"/>
              </w:numPr>
              <w:tabs>
                <w:tab w:val="left" w:pos="1470"/>
              </w:tabs>
              <w:jc w:val="center"/>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1台</w:t>
            </w:r>
            <w:bookmarkStart w:id="0" w:name="_GoBack"/>
            <w:bookmarkEnd w:id="0"/>
          </w:p>
        </w:tc>
        <w:tc>
          <w:tcPr>
            <w:tcW w:w="1425" w:type="dxa"/>
            <w:vAlign w:val="center"/>
          </w:tcPr>
          <w:p>
            <w:pPr>
              <w:numPr>
                <w:ilvl w:val="0"/>
                <w:numId w:val="0"/>
              </w:numPr>
              <w:tabs>
                <w:tab w:val="left" w:pos="1470"/>
              </w:tabs>
              <w:jc w:val="center"/>
              <w:rPr>
                <w:rFonts w:ascii="仿宋" w:hAnsi="仿宋" w:eastAsia="仿宋" w:cs="仿宋"/>
                <w:i w:val="0"/>
                <w:iCs w:val="0"/>
                <w:caps w:val="0"/>
                <w:color w:val="000000"/>
                <w:spacing w:val="0"/>
                <w:sz w:val="24"/>
                <w:szCs w:val="24"/>
              </w:rPr>
            </w:pPr>
          </w:p>
        </w:tc>
        <w:tc>
          <w:tcPr>
            <w:tcW w:w="1401" w:type="dxa"/>
            <w:vAlign w:val="center"/>
          </w:tcPr>
          <w:p>
            <w:pPr>
              <w:numPr>
                <w:ilvl w:val="0"/>
                <w:numId w:val="0"/>
              </w:numPr>
              <w:tabs>
                <w:tab w:val="left" w:pos="1470"/>
              </w:tabs>
              <w:jc w:val="center"/>
              <w:rPr>
                <w:rFonts w:ascii="仿宋" w:hAnsi="仿宋" w:eastAsia="仿宋" w:cs="仿宋"/>
                <w:i w:val="0"/>
                <w:iCs w:val="0"/>
                <w:caps w:val="0"/>
                <w:color w:val="000000"/>
                <w:spacing w:val="0"/>
                <w:sz w:val="24"/>
                <w:szCs w:val="24"/>
              </w:rPr>
            </w:pPr>
          </w:p>
        </w:tc>
        <w:tc>
          <w:tcPr>
            <w:tcW w:w="1716" w:type="dxa"/>
            <w:vAlign w:val="center"/>
          </w:tcPr>
          <w:p>
            <w:pPr>
              <w:numPr>
                <w:ilvl w:val="0"/>
                <w:numId w:val="0"/>
              </w:numPr>
              <w:tabs>
                <w:tab w:val="left" w:pos="1470"/>
              </w:tabs>
              <w:jc w:val="center"/>
              <w:rPr>
                <w:rFonts w:hint="eastAsia" w:ascii="仿宋" w:hAnsi="仿宋" w:eastAsia="仿宋" w:cs="仿宋"/>
                <w:i w:val="0"/>
                <w:iCs w:val="0"/>
                <w:color w:val="000000"/>
                <w:kern w:val="0"/>
                <w:sz w:val="24"/>
                <w:szCs w:val="24"/>
                <w:lang w:val="en-US" w:eastAsia="zh-CN" w:bidi="ar"/>
              </w:rPr>
            </w:pPr>
            <w:r>
              <w:rPr>
                <w:rFonts w:ascii="仿宋" w:hAnsi="仿宋" w:eastAsia="仿宋" w:cs="仿宋"/>
                <w:i w:val="0"/>
                <w:iCs w:val="0"/>
                <w:caps w:val="0"/>
                <w:color w:val="000000"/>
                <w:spacing w:val="0"/>
                <w:sz w:val="24"/>
                <w:szCs w:val="24"/>
              </w:rPr>
              <w:t>含设备安装、现场控制柜、</w:t>
            </w:r>
            <w:r>
              <w:rPr>
                <w:rFonts w:hint="eastAsia" w:ascii="仿宋" w:hAnsi="仿宋" w:eastAsia="仿宋" w:cs="仿宋"/>
                <w:i w:val="0"/>
                <w:iCs w:val="0"/>
                <w:caps w:val="0"/>
                <w:color w:val="000000"/>
                <w:spacing w:val="0"/>
                <w:sz w:val="24"/>
                <w:szCs w:val="24"/>
                <w:shd w:val="clear" w:fill="FFFF00"/>
              </w:rPr>
              <w:t>电缆铺设</w:t>
            </w:r>
            <w:r>
              <w:rPr>
                <w:rFonts w:hint="eastAsia" w:ascii="仿宋" w:hAnsi="仿宋" w:eastAsia="仿宋" w:cs="仿宋"/>
                <w:i w:val="0"/>
                <w:iCs w:val="0"/>
                <w:caps w:val="0"/>
                <w:color w:val="000000"/>
                <w:spacing w:val="0"/>
                <w:sz w:val="24"/>
                <w:szCs w:val="24"/>
              </w:rPr>
              <w:t>及信号传输至中控室。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859" w:type="dxa"/>
            <w:gridSpan w:val="3"/>
            <w:vAlign w:val="center"/>
          </w:tcPr>
          <w:p>
            <w:pPr>
              <w:numPr>
                <w:ilvl w:val="0"/>
                <w:numId w:val="0"/>
              </w:numPr>
              <w:tabs>
                <w:tab w:val="left" w:pos="1470"/>
              </w:tabs>
              <w:jc w:val="center"/>
              <w:rPr>
                <w:rFonts w:hint="default"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合计（人民币）</w:t>
            </w:r>
          </w:p>
        </w:tc>
        <w:tc>
          <w:tcPr>
            <w:tcW w:w="7617" w:type="dxa"/>
            <w:gridSpan w:val="5"/>
            <w:vAlign w:val="center"/>
          </w:tcPr>
          <w:p>
            <w:pPr>
              <w:numPr>
                <w:ilvl w:val="0"/>
                <w:numId w:val="0"/>
              </w:numPr>
              <w:tabs>
                <w:tab w:val="left" w:pos="1470"/>
              </w:tabs>
              <w:jc w:val="center"/>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大写：                                  小写：</w:t>
            </w:r>
          </w:p>
        </w:tc>
      </w:tr>
    </w:tbl>
    <w:p>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报价单位（公章）：</w:t>
      </w:r>
    </w:p>
    <w:p>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联系人：</w:t>
      </w:r>
    </w:p>
    <w:p>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联系电话：</w:t>
      </w:r>
    </w:p>
    <w:p>
      <w:pPr>
        <w:pStyle w:val="2"/>
        <w:keepNext w:val="0"/>
        <w:keepLines w:val="0"/>
        <w:pageBreakBefore w:val="0"/>
        <w:widowControl w:val="0"/>
        <w:kinsoku/>
        <w:wordWrap/>
        <w:overflowPunct/>
        <w:topLinePunct w:val="0"/>
        <w:autoSpaceDE/>
        <w:autoSpaceDN/>
        <w:bidi w:val="0"/>
        <w:adjustRightInd/>
        <w:snapToGrid/>
        <w:spacing w:line="400" w:lineRule="exact"/>
        <w:ind w:firstLine="2640" w:firstLineChars="1100"/>
        <w:jc w:val="both"/>
        <w:textAlignment w:val="auto"/>
        <w:rPr>
          <w:rFonts w:hint="default"/>
          <w:lang w:val="en-US" w:eastAsia="zh-CN"/>
        </w:rPr>
      </w:pPr>
      <w:r>
        <w:rPr>
          <w:rFonts w:hint="eastAsia" w:ascii="仿宋" w:hAnsi="仿宋" w:eastAsia="仿宋" w:cs="仿宋"/>
          <w:i w:val="0"/>
          <w:iCs w:val="0"/>
          <w:color w:val="000000"/>
          <w:kern w:val="0"/>
          <w:sz w:val="24"/>
          <w:szCs w:val="24"/>
          <w:u w:val="none"/>
          <w:lang w:val="en-US" w:eastAsia="zh-CN" w:bidi="ar"/>
        </w:rPr>
        <w:t xml:space="preserve">                                                        日期：</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2Y1Yzc0NzNjMjE5NGJlYzQwN2RhMjkwY2Q0MzYifQ=="/>
  </w:docVars>
  <w:rsids>
    <w:rsidRoot w:val="2B351480"/>
    <w:rsid w:val="0C946333"/>
    <w:rsid w:val="2B351480"/>
    <w:rsid w:val="44F84CB5"/>
    <w:rsid w:val="489444C6"/>
    <w:rsid w:val="6FBC5076"/>
    <w:rsid w:val="72BF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line="360" w:lineRule="auto"/>
    </w:pPr>
    <w:rPr>
      <w:sz w:val="24"/>
    </w:r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99"/>
    <w:pPr>
      <w:snapToGrid w:val="0"/>
    </w:pPr>
    <w:rPr>
      <w:rFonts w:ascii="Arial" w:hAnsi="Arial" w:cs="Arial"/>
    </w:rPr>
  </w:style>
  <w:style w:type="paragraph" w:styleId="5">
    <w:name w:val="Body Text First Indent"/>
    <w:basedOn w:val="2"/>
    <w:next w:val="6"/>
    <w:autoRedefine/>
    <w:unhideWhenUsed/>
    <w:qFormat/>
    <w:uiPriority w:val="99"/>
    <w:pPr>
      <w:spacing w:after="120"/>
      <w:ind w:firstLine="420" w:firstLineChars="100"/>
    </w:pPr>
    <w:rPr>
      <w:rFonts w:ascii="Times New Roman" w:hAnsi="Times New Roman"/>
      <w:kern w:val="2"/>
      <w:sz w:val="21"/>
    </w:rPr>
  </w:style>
  <w:style w:type="paragraph" w:styleId="6">
    <w:name w:val="Body Text First Indent 2"/>
    <w:basedOn w:val="3"/>
    <w:next w:val="1"/>
    <w:autoRedefine/>
    <w:unhideWhenUsed/>
    <w:qFormat/>
    <w:uiPriority w:val="99"/>
    <w:pPr>
      <w:ind w:firstLine="420" w:firstLineChars="200"/>
    </w:pPr>
    <w:rPr>
      <w:rFonts w:ascii="Calibri" w:hAnsi="Calibri" w:eastAsia="宋体" w:cs="Times New Roma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2024-03-04T07:52:00Z</dcterms:created>
  <dc:creator>烟雨格</dc:creator>
  <cp:lastModifiedBy>烟雨格</cp:lastModifiedBy>
  <dcterms:modified xsi:type="dcterms:W3CDTF">2024-04-23T08:58:40Z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FE3BF94AE9D349BDA0E8C8B579DCDB23_13</vt:lpwstr>
  </property>
</Properties>
</file>